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Latvijas Republikas Uzņēmumu reģistru"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Noziedzīgi iegūtu līdzekļu legalizācijas un terorisma un proliferācijas finansēšanas novēršanas likumā” (turpmāk - Saistītais likumprojekts) paredz nodrošināt Noziedzīgi iegūtu līdzekļu legalizācijas un terorisma un proliferācijas finansēšanas novēršanas likuma (turpmāk – NILLTPFNL) atbilstību Eiropas Parlamenta un Padomes 2024. gada 31. maija Direktīvas (ES) 2024/1640 par mehānismiem, kas dalībvalstīm jāievieš, lai nepieļautu finanšu sistēmas izmantošanu nelikumīgi iegūtu līdzekļu legalizēšanai vai teroristu finansēšanai, un ar ko groza Direktīvu (ES) 2019/1937 un ar ko groza un atceļ Direktīvu (ES) 2015/849 (turpmāk – Direktīva Nr. 2024/1640) 11., 12., 13. un 15.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tiks nodrošināts, ka likums “Par Latvijas Republikas Uzņēmumu reģistru” (turpmāk – Likums) ir saskanīgs ar Sastīto likumprojektu, tādējādi nodrošinot tā viennozīmīgu un skaidru 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Likumprojektu tiek risināta identificēta problēma saistībā ar  Latvijas Republikas Uzņēmumu reģistra (turpmāk – Reģistrs) kompetenci, pārbaudot kapitālsabiedrības statūtos ietvertos noteikumus par tiesībām, kas izriet no katras daļu kategorijas.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Saistīto likumprojektu paredzēts nodrošināt NILLTPFNL atbilstību Direktīvas Nr. 2024/1640 11., 12., 13. un 15. pantam. Izmaiņas veicamas arī attiecībā uz reģistrējamās informācijas apjomu par patiesajiem labuma guvējiem. Ņemot vērā Saistīto likumprojektu, Likumā ir precizējamas atsevišķas tiesību normas, kurās norādīts konkrēts informācijas par patiesajiem labuma guvējiem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mērķis ir precizēt Reģistra kompetenci, vērtējot kapitālsabiedrību statūtos ietverto noteikumu atbilstību normatīvajiem aktiem.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vienlaikus ar likumu “Par valsts budžetu 2026.gadam un budžeta ietvaru 2026., 2027. un 2028.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18.</w:t>
      </w:r>
      <w:r w:rsidR="00000000" w:rsidRPr="00000000" w:rsidDel="00000000">
        <w:rPr>
          <w:vertAlign w:val="superscript"/>
          <w:rtl w:val="0"/>
        </w:rPr>
        <w:t xml:space="preserve">1</w:t>
      </w:r>
      <w:r w:rsidR="00000000" w:rsidRPr="00000000" w:rsidDel="00000000">
        <w:rPr>
          <w:rtl w:val="0"/>
        </w:rPr>
        <w:t xml:space="preserve"> – 18.</w:t>
      </w:r>
      <w:r w:rsidR="00000000" w:rsidRPr="00000000" w:rsidDel="00000000">
        <w:rPr>
          <w:vertAlign w:val="superscript"/>
          <w:rtl w:val="0"/>
        </w:rPr>
        <w:t xml:space="preserve">6</w:t>
      </w:r>
      <w:r w:rsidR="00000000" w:rsidRPr="00000000" w:rsidDel="00000000">
        <w:rPr>
          <w:rtl w:val="0"/>
        </w:rPr>
        <w:t xml:space="preserve"> pantā ir noteikta kārtība, kādā juridiskās personas, personālsabiedrības, ārvalsts juridiskās personas vai juridiskie veidojumi, kas Latvijas Republikā reģistrē filiāli vai pārstāvniecību (turpmāk — ārvalsts subjekts), kā arī juridiskie veidojumi (turpmāk kopā saukti — tiesību subjekts) noskaidro un atklāj informāciju par saviem patiesajiem labuma guvējiem, kā arī Reģistrs nodrošina minētās informācijas publiskumu. Tāpat NILLTPFNL 18.</w:t>
      </w:r>
      <w:r w:rsidR="00000000" w:rsidRPr="00000000" w:rsidDel="00000000">
        <w:rPr>
          <w:vertAlign w:val="superscript"/>
          <w:rtl w:val="0"/>
        </w:rPr>
        <w:t xml:space="preserve">1</w:t>
      </w:r>
      <w:r w:rsidR="00000000" w:rsidRPr="00000000" w:rsidDel="00000000">
        <w:rPr>
          <w:rtl w:val="0"/>
        </w:rPr>
        <w:t xml:space="preserve"> panta ceturtajā daļā un 18.</w:t>
      </w:r>
      <w:r w:rsidR="00000000" w:rsidRPr="00000000" w:rsidDel="00000000">
        <w:rPr>
          <w:vertAlign w:val="superscript"/>
          <w:rtl w:val="0"/>
        </w:rPr>
        <w:t xml:space="preserve">4</w:t>
      </w:r>
      <w:r w:rsidR="00000000" w:rsidRPr="00000000" w:rsidDel="00000000">
        <w:rPr>
          <w:rtl w:val="0"/>
        </w:rPr>
        <w:t xml:space="preserve"> panta otrajā daļā noteiktās ziņas par tiesību subjekta patieso labuma guvēju, kuras tiesību subjekts glabā, pastāvīgi aktualizē un iesniedz Reģistrā –  vārdu, uzvārdu, Latvijas piešķirtu personas kodu un dzimšanas datumu, mēnesi, gadu, personu apliecinoša dokumenta numuru un izdošanas datumu, valsti un iestādi, kas dokumentu izdevusi, valstspiederību, pastāvīgās dzīvesvietas valsti, kā arī veidu, kā tiek īstenota kontrole, tai skaitā norādot citas personas, ar kuras starpniecību kontrole tiek īstenota. Līdz ar to NILLTPFNL ir noteikts konkrēts Reģistrā iesniedzamais un reģistrējamais informācijas par patiesajiem labuma guvējiem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Likumā atsevišķās normās ir minēts konkrēts informācijas par patiesajiem labuma guvējiem apjoms. Proti, Likuma 4.</w:t>
      </w:r>
      <w:r w:rsidR="00000000" w:rsidRPr="00000000" w:rsidDel="00000000">
        <w:rPr>
          <w:vertAlign w:val="superscript"/>
          <w:rtl w:val="0"/>
        </w:rPr>
        <w:t xml:space="preserve">10</w:t>
      </w:r>
      <w:r w:rsidR="00000000" w:rsidRPr="00000000" w:rsidDel="00000000">
        <w:rPr>
          <w:rtl w:val="0"/>
        </w:rPr>
        <w:t xml:space="preserve"> panta divpadsmitās daļas 2. punktā noteikts informācijas par patiesajiem labuma guvējiem apjomus, kādam Reģistrs nodrošina piekļuvi atvērto datu veidā Latvijas atvērto datu portālā (https://data.gov.lv/dati/lv/organization/ur). Likuma 18.</w:t>
      </w:r>
      <w:r w:rsidR="00000000" w:rsidRPr="00000000" w:rsidDel="00000000">
        <w:rPr>
          <w:vertAlign w:val="superscript"/>
          <w:rtl w:val="0"/>
        </w:rPr>
        <w:t xml:space="preserve">28D</w:t>
      </w:r>
      <w:r w:rsidR="00000000" w:rsidRPr="00000000" w:rsidDel="00000000">
        <w:rPr>
          <w:rtl w:val="0"/>
        </w:rPr>
        <w:t xml:space="preserve"> panta otrajā daļā noteikta juridisko veidojumu patieso labuma guvēju reģistrā reģistrējamā informācija par Reģistra vestajos reģistros vai citā Eiropas Savienības dalībvalsts reģistrā nereģistrētu tiesību subjektu patiesajiem labuma guvējiem. Savukārt Likuma 18.</w:t>
      </w:r>
      <w:r w:rsidR="00000000" w:rsidRPr="00000000" w:rsidDel="00000000">
        <w:rPr>
          <w:vertAlign w:val="superscript"/>
          <w:rtl w:val="0"/>
        </w:rPr>
        <w:t xml:space="preserve">34</w:t>
      </w:r>
      <w:r w:rsidR="00000000" w:rsidRPr="00000000" w:rsidDel="00000000">
        <w:rPr>
          <w:rtl w:val="0"/>
        </w:rPr>
        <w:t xml:space="preserve"> pantā uzskaitīta konkrēta  uzkrājamā un uz Eiropas Savienības reģistru savstarpējās savienojamības sistēmu (</w:t>
      </w:r>
      <w:r w:rsidR="00000000" w:rsidRPr="00000000" w:rsidDel="00000000">
        <w:rPr>
          <w:i w:val="1"/>
          <w:rtl w:val="0"/>
        </w:rPr>
        <w:t xml:space="preserve">Beneficial ownership registers interconnection system</w:t>
      </w:r>
      <w:r w:rsidR="00000000" w:rsidRPr="00000000" w:rsidDel="00000000">
        <w:rPr>
          <w:rtl w:val="0"/>
        </w:rPr>
        <w:t xml:space="preserve">) (turpmāk – BORIS) nododamā informācija par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 pantā noteikta Reģistra kompetence, pārbaudot iesniegtos dokumentus par ieraksta izdarīšanu vai dokumentu reģistrāciju komercreģistrā. Reģistrs tostarp pārbauda, vai  dokumentā, kuru reģistrē vai uz kura pamata izdara ierakstu komercreģistrā,  ietverto ziņu un noteikumu apjoms un saturs atbilst normatīvajiem aktiem un citiem reģistrācijas lietā esošajiem dokumentiem. Vienlaikus Likuma 14. panta otrās daļas 2. punkts sašaurina Reģistra kompetenci – Reģistra kompetencē neietilpst saskaņā ar Komerclikuma 144. panta pirmās daļas 8. un 9. punktu statūtos iekļautās kapitālsabiedrības dalībnieku (akcionāru) privāttiesiskās vienošanās pārbaude. Proti, Reģistrs nepārbauda īpašus daļu atsavināšanas noteikumus un citus noteikumus, kurus dibinātāji iekļāvuši statūtos.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Komerclikuma 144. panta pirmās daļas 4.</w:t>
      </w:r>
      <w:r w:rsidR="00000000" w:rsidRPr="00000000" w:rsidDel="00000000">
        <w:rPr>
          <w:vertAlign w:val="superscript"/>
          <w:rtl w:val="0"/>
        </w:rPr>
        <w:t xml:space="preserve">1</w:t>
      </w:r>
      <w:r w:rsidR="00000000" w:rsidRPr="00000000" w:rsidDel="00000000">
        <w:rPr>
          <w:rtl w:val="0"/>
        </w:rPr>
        <w:t xml:space="preserve"> punktā paredzēts, ka, ja kapitālsabiedrībai ir dažādas daļu (akciju) kategorijas, statūtos norāda tiesības, kas izriet no katras daļu (akciju) kategorijas un katras kategorijas daļu (akciju) skaitu un nominālvērtību. Likuma 14. panta otrās daļas 2. punktā nav ietverta atsauce uz minēto normu.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Informācijas par patiesajiem labuma guvējiem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2024/1640 12. panta 1. punktā norādīta informācija, kas jānodrošina personai, kas ir pierādījusi leģitīmo interesi iegūt patiesā labuma guvēja informāciju.  Lai arī Reģistrs šobrīd nodrošina piekļuve lielākajai daļai norādītās informācijas, ir informācija, kuras pieejamību Reģistrs šobrīd nenodrošina. Proti, lai arī Reģistra vestajos reģistros par patieso labuma guvēju tiek reģistrēta informācija par tā valstspiederību, Direktīvas Nr. 2024/1640 12. panta 1. punkta c) apakšpunkts paredz, ka reģistrējama informācija par patiesā labuma guvēja valstspiederību vai valstspiederībām. Proti, ja patiesajam labuma guvējam ir vairākas valstspiederības, informācija reģistrējama par tām visām. Šobrīd Reģistrs reģistrē informāciju tikai par vienu pieteikumā norādīto patiesā labuma guvēja valstspiederību.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Direktīvas Nr. 2024/1640 12. panta 1. punkta d) apakšpunkts papildus informācijai par patiesā labuma guvēja īstenotās kontroles veidu paredz arī prasību reģistrēt informāciju par īstenotās kontroles apjomu, kas pašlaik netiek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Reģistra vestajos reģistros tiek reģistrēts atbilstošs informācijas par patiesajiem labuma guvējiem apjoms, ar Saistīto likumprojektu tiek veikti grozījumi NILLTPFNL, paredzot, ka Reģistra vestajos reģistros tiek reģistrēta papildus informācija par patiesajiem labuma guvējiem – informācija par patiesā labuma guvēja valstspiederībām, ja patiesajam labuma guvējam tādas ir vairākas, kā arī īstenotās kontroles apjomu. Attiecīgi veidojas pretrunas starp NILLTPFNL un Likumā noteikto informācijas par patiesajiem labuma guvējiem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pretrunas starp Likumu un NILLTPFNL, Likumprojektā paredzēts grozīt Likuma 4.</w:t>
      </w:r>
      <w:r w:rsidR="00000000" w:rsidRPr="00000000" w:rsidDel="00000000">
        <w:rPr>
          <w:vertAlign w:val="superscript"/>
          <w:rtl w:val="0"/>
        </w:rPr>
        <w:t xml:space="preserve">10</w:t>
      </w:r>
      <w:r w:rsidR="00000000" w:rsidRPr="00000000" w:rsidDel="00000000">
        <w:rPr>
          <w:rtl w:val="0"/>
        </w:rPr>
        <w:t xml:space="preserve"> panta divpadsmitās daļas 2. punktu, 18.</w:t>
      </w:r>
      <w:r w:rsidR="00000000" w:rsidRPr="00000000" w:rsidDel="00000000">
        <w:rPr>
          <w:vertAlign w:val="superscript"/>
          <w:rtl w:val="0"/>
        </w:rPr>
        <w:t xml:space="preserve">28D</w:t>
      </w:r>
      <w:r w:rsidR="00000000" w:rsidRPr="00000000" w:rsidDel="00000000">
        <w:rPr>
          <w:rtl w:val="0"/>
        </w:rPr>
        <w:t xml:space="preserve"> panta otrās daļas 5. punktu, kā arī 18.</w:t>
      </w:r>
      <w:r w:rsidR="00000000" w:rsidRPr="00000000" w:rsidDel="00000000">
        <w:rPr>
          <w:vertAlign w:val="superscript"/>
          <w:rtl w:val="0"/>
        </w:rPr>
        <w:t xml:space="preserve">34</w:t>
      </w:r>
      <w:r w:rsidR="00000000" w:rsidRPr="00000000" w:rsidDel="00000000">
        <w:rPr>
          <w:rtl w:val="0"/>
        </w:rPr>
        <w:t xml:space="preserve"> panta pirmās daļas 5. punktu. Minētajās normās ir norādīta konkrēta informācija par  patiesajiem labuma guvējiem un tā tiek pielīdzināta ar Saistīto likumprojektu veiktajiem grozījumiem NILLTPFNL 18.</w:t>
      </w:r>
      <w:r w:rsidR="00000000" w:rsidRPr="00000000" w:rsidDel="00000000">
        <w:rPr>
          <w:vertAlign w:val="superscript"/>
          <w:rtl w:val="0"/>
        </w:rPr>
        <w:t xml:space="preserve">1</w:t>
      </w:r>
      <w:r w:rsidR="00000000" w:rsidRPr="00000000" w:rsidDel="00000000">
        <w:rPr>
          <w:rtl w:val="0"/>
        </w:rPr>
        <w:t xml:space="preserve"> panta ceturtajā daļā,  18.</w:t>
      </w:r>
      <w:r w:rsidR="00000000" w:rsidRPr="00000000" w:rsidDel="00000000">
        <w:rPr>
          <w:vertAlign w:val="superscript"/>
          <w:rtl w:val="0"/>
        </w:rPr>
        <w:t xml:space="preserve">4</w:t>
      </w:r>
      <w:r w:rsidR="00000000" w:rsidRPr="00000000" w:rsidDel="00000000">
        <w:rPr>
          <w:rtl w:val="0"/>
        </w:rPr>
        <w:t xml:space="preserve"> panta otrajā daļā un 18.</w:t>
      </w:r>
      <w:r w:rsidR="00000000" w:rsidRPr="00000000" w:rsidDel="00000000">
        <w:rPr>
          <w:vertAlign w:val="superscript"/>
          <w:rtl w:val="0"/>
        </w:rPr>
        <w:t xml:space="preserve">6</w:t>
      </w:r>
      <w:r w:rsidR="00000000" w:rsidRPr="00000000" w:rsidDel="00000000">
        <w:rPr>
          <w:rtl w:val="0"/>
        </w:rPr>
        <w:t xml:space="preserve"> panta trešās daļas 6. punktā. Atbilstoši grozījumiem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paredzēts, ka Reģistrs  atvērto datu veidā nodrošina piekļuvi informācijai par patieso labuma guvēju valstspiederībām (ja patiesajam labuma guvējam tādas ir vairākas);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papildinātas juridisko veidojumu patieso labuma guvēju reģistrā reģistrējamās ziņas par Reģistra vestajos reģistros vai citā Eiropas Savienības dalībvalsts reģistrā nereģistrētiem tiesību subjektu patiesajiem labuma guvējiem – valstspiederībām un īstenotās kontroles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Reģistrs uzkrāj, nodod BORIS un nodrošina publiski pieejamus papildus datus par patiesā labuma guvēja valstspiederībām.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minētajās Likuma normās, tiek novērstas pastāvošās pretrunas un Likumā norādītais informācijas par patiesajiem labuma guvējiem apjoms tiek pielīdzināts tam, kas ir noteikts NILLTPFNL.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Reģistra kompetence, vērtējot kapitālsabiedrības statūtos ietvertos noteikumus par daļu/akciju kategoriju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Komerclikuma 144. panta pirmajā daļā uzskaitīts kapitālsabiedrības statūtos norādāmās ziņas. Atbilstoši normas 4.</w:t>
      </w:r>
      <w:r w:rsidR="00000000" w:rsidRPr="00000000" w:rsidDel="00000000">
        <w:rPr>
          <w:vertAlign w:val="superscript"/>
          <w:rtl w:val="0"/>
        </w:rPr>
        <w:t xml:space="preserve">1</w:t>
      </w:r>
      <w:r w:rsidR="00000000" w:rsidRPr="00000000" w:rsidDel="00000000">
        <w:rPr>
          <w:rtl w:val="0"/>
        </w:rPr>
        <w:t xml:space="preserve"> punktam, ja sabiedrībai ir dažādas daļu kategorijas, statūtos norāda daļu kategorijas (norādot tiesības, kas izriet no katras daļu kategorijas) un katras kategorijas daļu skaitu un nominālvērtību. Savukārt Likuma 14. panta pirmās daļas 5. punktā noteikts, ka, izskatot iesniegtos dokumentus, Reģistra valsts notārs pārbauda, vai dokumentā, kuru reģistrē (pievieno lietai) vai uz kura pamata izdara ierakstu komercreģistrā, ietverto ziņu un noteikumu apjoms un saturs atbilst normatīvajiem aktiem un citiem reģistrācijas lietā esošajiem dokumentiem. Minētais tostarp ietver kapitālsabiedrības statūtus ietverto noteikumu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Reģistram, realizējot likumā noteikto kompetenci, nav jāveic absolūta dokumentu satura pārbaude. Dokumentu atbilstības pārbaude jāveic tikai tādā apjomā, kas nepieciešams, lai Reģistrs efektīvi pildītu likumā noteiktās funkcijas. Proti, veikt likumā noteikto tiesību subjektu reģistrāciju, nodrošinot šo subjektu juridisko statusu, normatīvajos aktos noteikto ziņu publisku ticamību un pieejamību. Tas nozīmē, ka Reģistra valsts notārs pārbauda, vai reģistrējamie dokumenti ir sastādīti atbilstoši normatīvajiem aktiem, nevis izvērtē šo dokumentu sastādīšanas privāttiesiskos aspektus. Tādēļ Likuma 14. panta otrās daļas 2. punktā ir sašaurināta Reģistra valsts notāra kompetence – netiek veikta saskaņā ar Komerclikuma 144. panta pirmās daļas 8. un 9. punktu statūtos iekļautās kapitālsabiedrības dalībnieku (akcionāru) privāttiesiskās vienošanās pārbaude.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konstatēts, ka Likuma 14. panta otrās daļas 2. punktā ietvertais uzskaitījums ir nepilnīgs, jo tajā nav ietverts Komerclikuma 144. panta pirmās daļas 4.</w:t>
      </w:r>
      <w:r w:rsidR="00000000" w:rsidRPr="00000000" w:rsidDel="00000000">
        <w:rPr>
          <w:vertAlign w:val="superscript"/>
          <w:rtl w:val="0"/>
        </w:rPr>
        <w:t xml:space="preserve">1</w:t>
      </w:r>
      <w:r w:rsidR="00000000" w:rsidRPr="00000000" w:rsidDel="00000000">
        <w:rPr>
          <w:rtl w:val="0"/>
        </w:rPr>
        <w:t xml:space="preserve"> punkts daļā par tiesībām, kas izriet no katras daļu (akciju) kategorijas. Ņemot vērā privāttiesībās pastāvošo privātautonomijas principu, kā arī Komerclikuma regulējumu kopumā, kapitālsabiedrības statūtos var paredzēt daļas/akcijas, kurām nav kāda vai kādas no tiesībām (balsstiesības, tiesības uz dividendēm, likvidācijas kvotu), kuras nodrošina konkrētā daļu (akciju) kategorija. Daļu (akciju) kategorijas tiesību apjoms nav komercreģistrā ierakstāmā ziņa un Reģistram nebūtu jāpārbauda statūtu noteikumi, kas nosaka katrai daļai (akcijai) piešķirto tiesību apjomu.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Likuma 14. panta otrās daļas 2. punktā būtu paredzēti visi statūtu noteikumi, kurus Reģistra valsts notārs nepārbauda, minētā norma papildināma ar  atsauci uz Komerclikuma 144. panta pirmās daļas 4.</w:t>
      </w:r>
      <w:r w:rsidR="00000000" w:rsidRPr="00000000" w:rsidDel="00000000">
        <w:rPr>
          <w:vertAlign w:val="superscript"/>
          <w:rtl w:val="0"/>
        </w:rPr>
        <w:t xml:space="preserve">1</w:t>
      </w:r>
      <w:r w:rsidR="00000000" w:rsidRPr="00000000" w:rsidDel="00000000">
        <w:rPr>
          <w:rtl w:val="0"/>
        </w:rPr>
        <w:t xml:space="preserve"> punktu daļā par tiesībām, kas izriet no katras daļu (akciju) kategorijas. Proti, Reģistra valsts notārs, izskatot iesniegtos statūtus, nepārbaudīs statūtu noteikumus par tiesībām, kas izriet no daļu kategorijām. Pretējā gadījumā privātpersonām tiek radīts maldīgs priekštats, ka Reģistra valsts notārs vērtē statūtu noteikumus par daļu (akciju) kategoriju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Likuma 14. panta otrās daļas 2. punkts netiek papildināts ar pilnīgu atsauci uz Komerclikuma 144. panta pirmās daļas 4.</w:t>
      </w:r>
      <w:r w:rsidR="00000000" w:rsidRPr="00000000" w:rsidDel="00000000">
        <w:rPr>
          <w:vertAlign w:val="superscript"/>
          <w:rtl w:val="0"/>
        </w:rPr>
        <w:t xml:space="preserve">1</w:t>
      </w:r>
      <w:r w:rsidR="00000000" w:rsidRPr="00000000" w:rsidDel="00000000">
        <w:rPr>
          <w:rtl w:val="0"/>
        </w:rPr>
        <w:t xml:space="preserve"> punktu, bet gan tikai daļā par tiesībām, kas izriet no katras daļu (akciju) kategorijas. Proti, Reģistra valsts notārs, izskatot statūtu noteikumus par daļu (akciju) kategorijām, arī turpmāk vērtēs iekļautās ziņas par katras kategorijas daļu (akciju) skaitu un nominālvērtību. Saskaņā ar Komerclikuma 134. panta pirmo daļu kapitālsabiedrības pamatkapitāls sastāv no pamatkapitāla daļu vai akciju nominālvērtību kopsummas. Ņemot vērā, ka komercreģistrā tiek reģistrētas ziņas gan par kapitālsabiedrības pamatkapitāla apmēru, gan par daļu (akciju) skaitu un nominālvērtību, Reģistra valsts notāram minētās ziņas jāpārbauda, lai novērstu statūtos ietvertās pretrunas ziņās, kās tālāk tiks reģistrētas komercreģistrā.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kuras ir Reģistra vestajos reģistros reģistrētu tiesību subjektu patiesie labuma guvēji.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paplašināts uz atvērtajiem datiem un BORIS nododamais informācijas par patiesajiem labuma guvējiem apjoms. Tāpat juridisko veidojumu patieso labuma guvēju reģistrā tiks reģistrēts plašāks informācijas apjoms par Reģistra vestajos reģistros vai citā Eiropas Savienības dalībvalsts reģistrā nereģistrētiem tiesību subjektiem.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(sabiedrības ar ierobežotu atbildību un akciju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sašaurināta Reģistra valsts notāra kompetence, paredzot, ka turpmāk netiek pārbaudīti statūtos ietvertie noteikumi par dažādu daļu (akciju) kategoriju tiesībām.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Sašaurināta Reģistra kompetence, vērtējot kapitālsabiedrību iesniegtos statūtus.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Sašaurināta Reģistra kompetence, vērtējot kapitālsabiedrību iesniegtos statūtus.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ietverto normu izmaiņu izstrādes ietekme norādīta likumprojekta " Grozījumi Noziedzīgi iegūtu līdzekļu legalizācijas un terorisma un proliferācijas finansēšanas novēršanas likumā " (25-TA-2238) anotācijā, kas tiek virzīts vienotā paketē ar šo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Noziedzīgi iegūtu līdzekļu legalizācijas un terorisma un proliferācijas finansēšanas novēršanas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Saistītajiem grozījumiem tiek veikti grozījumi NILLTPFNL, lai pārņemtu Direktīvas Nr. 2024/1640 11., 12., 13. un 15. panta prasības. Minētais tostarp ietver paplašināt Reģistra vestajos reģistros pieejamās informācijas par patiesajiem labuma guvējiem apjomu. Lai novērstu pretrunas starp Likumu un NILLTPFNL, Likumprojektā paredzēts grozīt Likumā ietvertās tiesību normas, kurās ir norādīta konkrēta informācija par patiesajiem labuma guvējiem un tā tiek pielīdzināta ar Saistīto likumprojektu veiktajiem grozījumiem NILLTPFNL.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veiktas izmaiņas informācijas apjomā, kādu Reģistrs apstrādā par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sašaurināta Reģistra kompetence, paredzot, ka Reģistrs nevērtē kapitālsabiedrību statūtos iekļautos noteikumus par daļu kategoriju tiesībām.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ieviešanai paredzami papildinājumi Reģistra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 datu par patiesajiem labuma guvējiem apstrāde plašākā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fizisko personas datu apstrāde atbilst Fizisko personu datu apstrādes likuma 25. panta pirmās daļas prasībām, kā arī Eiropas parlamenta un Padomes 2016. gada 27. aprīļa Regulas  (ES) 2016/679 par fizisku personu aizsardzību attiecībā uz personas datu apstrādi un šādu datu brīvu apriti un ar ko atceļ Direktīvu 95/46/EK (Vispārīgā datu aizsardzības regula) 6. panta 1. punkta c) apakšpunkta pamatojumam fizisko personu datu apstrādei.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25-TA-2239</w:t>
    </w:r>
    <w:r>
      <w:br/>
    </w:r>
    <w:r w:rsidR="00000000" w:rsidRPr="00000000" w:rsidDel="00000000">
      <w:rPr>
        <w:rtl w:val="0"/>
      </w:rPr>
      <w:t xml:space="preserve">Izdrukāts 30.07.2026. 00.00 - 1.0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25-TA-2239</w:t>
    </w:r>
    <w:r>
      <w:br/>
    </w:r>
    <w:r w:rsidR="00000000" w:rsidRPr="00000000" w:rsidDel="00000000">
      <w:rPr>
        <w:rtl w:val="0"/>
      </w:rPr>
      <w:t xml:space="preserve">Izdrukāts 30.07.2026. 00.00 - 1.0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anotācija_(ex_ante)_25-TA-2239.docx</dc:title>
</cp:coreProperties>
</file>

<file path=docProps/custom.xml><?xml version="1.0" encoding="utf-8"?>
<Properties xmlns="http://schemas.openxmlformats.org/officeDocument/2006/custom-properties" xmlns:vt="http://schemas.openxmlformats.org/officeDocument/2006/docPropsVTypes"/>
</file>