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15. oktobra noteikumos Nr. 1113 "Prasības attiecībā uz augļu sulām un tām līdzīgiem produktiem""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Direktīva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2013. gada 15. oktobra noteikumos Nr. 1113 "Prasības attiecībā uz augļu sulām un tām līdzīgiem produktiem"" (turpmāk – noteikumu projekts) sagatavots, lai ieviestu direktīvā 2024/1438 noteiktās prasības attiecībā uz augļu sulu un dažu līdzīgu produktu ražošanu, produkta sastāvu un marķējumu. Direktīva 2024/1438 ir jāpārņem Latvijas normatīvajos aktos līdz 2025. gada 14.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termiņš noteikts atbilstoši direktīvas 2024/1438 5. panta 1. punktā noteiktajam noteikumu piemērošanas termiņam.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2013. gada 15. oktobra noteikumi Nr. 1113 "Prasības attiecībā uz augļu sulām un tām līdzīgiem produktiem" (turpmāk – noteikumi Nr. 1113). Noteikumos Nr. 1113 ietvertas prasības, kas izriet no Padomes 2001. gada 20. decembra Direktīvas 2001/112/EK, kas attiecas uz pārtikai paredzētām augļu sulām un dažiem līdzīgiem produktiem (turpmāk – direktīva 2001/112).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augļu sulu un tām līdzīgu produktu brīvu apriti, pielāgotu normatīvo regulējumu patērētāju vēlmēm un ieviestu jaunākās ražošanas tehnoloģijas, direktīva 2001/112 ir grozīta ar direktīvu 2024/1438. Šie grozījumi attiecas uz produkta ražošanas procesiem, produkta sastāvu un marķējumu. Atbilstoši direktīvas 2024/1438 5. pantam dalībvalstīm grozījumi savos normatīvajos aktos ir jāievieš līdz 2025. gada 14. decembrim, bet tajā noteiktās prasības ir jāpiemēro no 2026. gada 14.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direktīvas 2024/1438 6. pantu produktus, kas saražoti pirms 2026. gada 14. jūnija, varēs turpināt tirgot, līdz tie tiks izpārdoti.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tehnoloģiju attīstību ir radīti jauni pārstrādes paņēmieni, kas ļauj no augļu sulām un no koncentrāta iegūtām augļu sulām atdalīt dabīgos cukurus, lai tādā veidā pielāgotos patērētāju pieprasījumam pēc produktiem ar zemāku cukura saturu. Šādus produktus var tirgot Eiropas Savienībā, tomēr tie neatbilst direktīvas 2001/112 prasībām, tāpēc tos nevar apzīmēt ar direktīvā 2001/112 noteiktajiem augļu sulu un tām līdzīgu produktu nosaukumiem. Lai atvieglotu minēto produktu laišanu tirgū, kā arī lai varētu īstenot produktu sastāva pārveidošanu, direktīvā 2024/1438 ir ietverta jauna augļu sulas kategorija – augļu sulas, kurās dabīgo cukuru saturs atbilstošos atļautos procesos ir samazināts par 30 procentiem, bet vienlaikus ir saglabātas visas pārējās sulas būtiskās fizikālās, ķīmiskās, organoleptiskās un uzturvērtības īpašības, kas raksturīgas tā augļa sulai, no kura produkts iegūts. Jaunās augļu sulas kategorijas sulas ir šādas: augļu sula ar samazinātu cukura saturu, augļu sula no koncentrāta ar samazinātu cukura saturu jeb augļu sula no koncentrētas sulas ar samazinātu cukura saturu (turpmāk – augļu sula no koncentrāta ar samazinātu cukura saturu) un koncentrēta augļu sula ar samazinātu cukura saturu (turpmāk – koncentrāts ar samazinātu cukura saturu) (turpmāk – produkti ar samazinātu cukura saturu). Produktiem ar samazinātu cukura saturu direktīvā 2024/1438 ir noteikta virkne prasību, proti, noteiktas to definīcijas, ražošanā atļautās sastāvdaļas, atļautie procesi un vielas, kā arī marķēšanas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direktīvā 2024/1438 noteiktās prasības attiecībā uz produktiem ar samazinātu cukura saturu, noteikumi Nr. 1113 ir jāpapildina vai jāprecizē, izdarot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jāpapildina 2. punkts ar 2.7.–2.9. apakšpunktu, nosakot, ka noteikumi attiecas arī uz produktiem ar samazinātu cukura saturu (noteikumu projekta 1.1., 1.2. un 1.3.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daļa jāpapildina ar 5.</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1</w:t>
      </w:r>
      <w:r w:rsidR="00000000" w:rsidRPr="00000000" w:rsidDel="00000000">
        <w:rPr>
          <w:rtl w:val="0"/>
        </w:rPr>
        <w:t xml:space="preserve"> punktu, nosakot definīcijas produktiem ar samazinātu cukura saturu, t. i., augļu sulai ar samazinātu cukura saturu (noteikumu projekta 1.4. apakšpunkts), augļu sulai no koncentrāta ar samazinātu cukura saturu (noteikumu projekta 1.5. apakšpunkts) un koncentrātam ar samazinātu cukura saturu (noteikumu projekta 1.6.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jāpapildina 14. punkta ievaddaļa, lai noteiktu, ka atļauja augļu sulu un tām līdzīgu produktu ražošanā pievienot noteiktas papildu sastāvdaļas attiecas arī uz produktiem ar samazinātu cukura saturu. Papildus 14.1. un 14.2. apakšpunkts ir tehniski precizēts – izveidota saistītā atstarpe aiz skaitļiem (noteikumu projekta 1.8.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jāpapildina ar jaunu tiesību normu 14.</w:t>
      </w:r>
      <w:r w:rsidR="00000000" w:rsidRPr="00000000" w:rsidDel="00000000">
        <w:rPr>
          <w:vertAlign w:val="superscript"/>
          <w:rtl w:val="0"/>
        </w:rPr>
        <w:t xml:space="preserve">1</w:t>
      </w:r>
      <w:r w:rsidR="00000000" w:rsidRPr="00000000" w:rsidDel="00000000">
        <w:rPr>
          <w:rtl w:val="0"/>
        </w:rPr>
        <w:t xml:space="preserve"> punkts (noteikumu projekta 1.9. apakšpunkts) attiecībā uz ūdens pievienošanu augļu sulai ar samazinātu cukura saturu un augļu sulai no koncentrāta ar samazinātu cukura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jāpapildina 16. punkts ar 16.4. apakšpunktu, nosakot, ka produktu ar samazinātu cukura saturu ražošanā ir atļauta to apstrāde ar membrānfiltrēšanu un raudzēšanu ar raugu (noteikumu projekta 1.10.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3.1. apakšnodaļa jāpapildina  ar jaunu tiesību normu 19.</w:t>
      </w:r>
      <w:r w:rsidR="00000000" w:rsidRPr="00000000" w:rsidDel="00000000">
        <w:rPr>
          <w:vertAlign w:val="superscript"/>
          <w:rtl w:val="0"/>
        </w:rPr>
        <w:t xml:space="preserve">1</w:t>
      </w:r>
      <w:r w:rsidR="00000000" w:rsidRPr="00000000" w:rsidDel="00000000">
        <w:rPr>
          <w:rtl w:val="0"/>
        </w:rPr>
        <w:t xml:space="preserve"> punktā (noteikumu projekta 1.12. apakšpunkts), nosakot, ka augļu sulas ar samazinātu cukura saturu ražošanā ir atļauts to sajaukt ar augļu sulu vai augļu biezeni, vai abiem;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3.2. apakšnodaļa jāpapildina ar jaunu tiesību normu 25.</w:t>
      </w:r>
      <w:r w:rsidR="00000000" w:rsidRPr="00000000" w:rsidDel="00000000">
        <w:rPr>
          <w:vertAlign w:val="superscript"/>
          <w:rtl w:val="0"/>
        </w:rPr>
        <w:t xml:space="preserve">1</w:t>
      </w:r>
      <w:r w:rsidR="00000000" w:rsidRPr="00000000" w:rsidDel="00000000">
        <w:rPr>
          <w:rtl w:val="0"/>
        </w:rPr>
        <w:t xml:space="preserve"> punktu attiecībā uz augļu sulas no koncentrāta ar samazinātu cukura saturu ražošanai, proti, minētās sulas ražošanā izmantojamiem augļu sulas un biezeņa veidiem (noteikumu projekta 1.14.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jāprecizē 35. punkts, paredzot, ka minēto norāžu lietošana marķējumā attiecas arī uz tādiem augļu sulu maisījumiem, kuru sastāvā ir augļu sula no koncentrāta ar samazinātu cukura saturu un augļu sula ar samazinātu cukura saturu (noteikumu projekta 1.18.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13. punktā noteiktas sastāvdaļas, ko ražošanas procesā drīkst pievienot augļu sulām un tām līdzīgiem produktiem. Direktīvā 2024/1438 augļu sulu un tām līdzīgo produktu ražošanā atļauto sastāvdaļu sarakstā ir precizēta prasība pārtikas piedevas – saldinātāju – lietošanas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direktīvā 2024/1438 noteikto prasību par saldinātāju lietošanas nosacījumiem, ir jāprecizē noteikumu Nr. 1113 13.2. apakšpunkts, nosakot, ka saldinātājus ir atļauts lietot tikai augļu nektāru ražošanā (noteikumu projekta 1.7.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17. punktā noteiktas augļu sulu un tām līdzīgu produktu apstrādē atļautās vielas. Tā kā līdz ar tehnoloģiju attīstību tiešai lietošanai pārtikā arvien vairāk tiek izmantoti saulespuķu sēklu proteīni, kā arī ir pierādīts, ka tie ir iedarbīgs augļu sulu dzidrināšanas līdzeklis, direktīvā 2024/1438 atļauto vielu saraksts ir papildināts ar jaunu vielu – saulespuķu sēklu proteīni.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17. punkts ir jāpapildina ar 17.10. apakšpunktu, lai atļauto vielu sarakstu pielāgotu direktīvā 2024/1438 dotajam atļauto vielu sarakstam (noteikumu projekta 1.11.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1113 32. punkta prasībām, no kokosriekstiem iegūtas sulas produkta nosaukums ir kokosriekstu sula. Tomēr starptautiskajā standartā, t. i., Pārtikas kodeksa Vispārējā standartā, attiecībā uz augļu sulām un nektāriem (CXS 247-2005; pieejams tīmekļvietnē https://www.fao.org/fao-who-codexalimentarius/sh-proxy/jp/?lnk=1&amp;url=https%253A%252F%252Fworkspace.fao.org%252Fsites%252Fcodex%252FStandards%252FCXS%2B247-2005%252FCXS_247e.pdf) tā pielikuma A1. tabulā ir lietots produkta nosaukums "kokosriekstu ūdens" (</w:t>
      </w:r>
      <w:r w:rsidR="00000000" w:rsidRPr="00000000" w:rsidDel="00000000">
        <w:rPr>
          <w:i w:val="1"/>
          <w:rtl w:val="0"/>
        </w:rPr>
        <w:t xml:space="preserve">Cocos nucifera</w:t>
      </w:r>
      <w:r w:rsidR="00000000" w:rsidRPr="00000000" w:rsidDel="00000000">
        <w:rPr>
          <w:rtl w:val="0"/>
        </w:rPr>
        <w:t xml:space="preserve"> L.e), kas ir sinonīms produkta nosaukumam "kokosriekstu sula". Tāpat minētajā standartā ir noteikts, ka tas ir produkts, ko tiešā veidā ekstrahē no kokosriekstiem, neizspiežot kokosriekstu mīkstumu. Ievērojot minēto, ir pārskatīts direktīvas 2001/112 III pielikums un tajā ir pievienots produkta nosaukums "kokosriekstu ūdens" – to paredz direktīvas 2024/1438 I pielikuma 2.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visiem patērētājiem ir saprotams, ka produkta nosaukums "kokosriekstu ūdens" ir sinonīms produkta nosaukumam "kokosriekstu sula", noteikumi Nr. 1113 jāpapildina ar 20.</w:t>
      </w:r>
      <w:r w:rsidR="00000000" w:rsidRPr="00000000" w:rsidDel="00000000">
        <w:rPr>
          <w:vertAlign w:val="superscript"/>
          <w:rtl w:val="0"/>
        </w:rPr>
        <w:t xml:space="preserve">1</w:t>
      </w:r>
      <w:r w:rsidR="00000000" w:rsidRPr="00000000" w:rsidDel="00000000">
        <w:rPr>
          <w:rtl w:val="0"/>
        </w:rPr>
        <w:t xml:space="preserve"> punktu, skaidrojot, kas ir produkti ar minētajiem nosaukumiem (noteikumu projekta 1.13.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1113 29. punktu augļu nektāram ražošanas procesā var pievienot cukurus, medu vai abus – tos saldināšanas nolūkos ir atļauts pievienot ne vairāk par 20 procentiem no gatavā produkta kopējās masas. Lai atbalstītu augļu ražošanu un tirdzniecību, vienlaikus veicinot produktu sastāva pārveidošanu ar mērķi samazināt augļu nektāros esošo cukuru daudzumu, direktīvā 2024/1438 ir noteiktas jaunas prasības pievienojamā cukura un medus vai cukura, vai medus daudzumam atkarībā no augļu nektārā ražošanā izmantotā augļa garšas īpašībām.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Nr. 1113 29. punkts, proti, jānosaka atļautais pievienojamā cukura un medus vai cukura, vai medus daudzums atbilstoši noteikumu Nr. 1113 2. pielikumā minētajām augļu nektāra ražošanā izmantojamām trim augļu grupām – attiecīgi 20, 15 vai 10 procentu no gatavā produkta kopējās masas (noteikumu projekta 1.15.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4. nodaļā ir ietvertas prasības augļu sulu un tām līdzīgu produktu marķējumam, tomēr patlaban šajā nodaļā nav dotas atsauces uz spēkā esošajiem marķēšanas jomu reglamentējošiem normatīvajiem aktiem, proti, Eiropas Parlamenta un Padomes 2011. gada 25. oktobra Regulu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(turpmāk – regula Nr. 1169/2011) un Ministru kabineta 2015. gada 3. marta noteikumiem Nr. 115 "Prasības fasētas pārtikas marķējumam".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2001/112 ir dotas atsauces uz atceltu tiesību aktu, proti, Eiropas Parlamenta un Padomes 2000. gada 20. marts Direktīvu 2000/13/EK par dalībvalstu tiesību aktu tuvināšanu attiecībā uz pārtikas produktu marķēšanu, noformēšanu un reklāmu. Minētā direktīva ir atcelta un aizstāta ar regulu Nr. 1169/2011.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un nepārprotami noteiktu, kādas prasības marķēšanas jomā papildus noteikumos Nr. 1113 noteiktajām marķēšanas prasībām ir jāievēro augļu sulu un tām līdzīgu produktu ražotājiem, noteikumu Nr. 1113 4. nodaļā ir jāpapildina ar jaunu tiesību normu 31.</w:t>
      </w:r>
      <w:r w:rsidR="00000000" w:rsidRPr="00000000" w:rsidDel="00000000">
        <w:rPr>
          <w:vertAlign w:val="superscript"/>
          <w:rtl w:val="0"/>
        </w:rPr>
        <w:t xml:space="preserve">1</w:t>
      </w:r>
      <w:r w:rsidR="00000000" w:rsidRPr="00000000" w:rsidDel="00000000">
        <w:rPr>
          <w:rtl w:val="0"/>
        </w:rPr>
        <w:t xml:space="preserve"> punktā, nosakot, ka produktus marķē saskaņā regulā Nr. 1169/2011 un noteikumos par prasībām fasētas pārtikas marķējumam noteiktajām prasībām (noteikumu projekta 1.16.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1113 ietvertās prasības neatļauj augļu sulu marķējumā lietot norādi, ka augļu sulas satur tikai dabīgu cukuru, vai tamlīdzīgu norādi. Augļu sulām (izņemot Latvijā ražotai smiltsērkšķu sulai, kurai ir atļauts pievienot cukuru līdz 140 gramiem uz litru) ražošanas procesā cukurus pievienot nedrīkst. Tas nozīmē, ka augļu sulu marķējumā nav atļauts lietot uzturvērtības norādi "bez pievienota cukura", tomēr šādu vai citu patērētājiem domātu norādi ar līdzīgu nozīmi kopā ar norādi "satur dabīgu cukuru" drīkst lietot nektāru marķējumā. Patērētājs, izvēloties no vairākiem produktiem ar identisku vai ļoti līdzīgu uzturvielu sastāvu, biežāk priekšroku dod tiem produktiem, kuriem ir uzturvērtības norāde, bet tas rada nevienlīdzīgu konkurenci attiecībā uz augļu sulu. Lai informētu patērētājus par augļu sulas uzturvērtības īpašībām un patērētajam būtu vieglāk atšķirt augļu sulas no augļu nektāriem, kā arī lai patērētājs varētu izdarīt ar informāciju pamatotu izvēli, direktīvā 2024/1438 ir ietverta jauna prasība par to, ka norāde, ka augļu sulas satur tikai dabīgu cukuru, ir izmantojama brīvprātīgi.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direktīvas 2024/1438 2. panta 1. punkta "c" apakšpunktā noteikto, noteikumu Nr. 1113 4. nodaļā ir jāpapildina ar jaunu tiesību normu 31.</w:t>
      </w:r>
      <w:r w:rsidR="00000000" w:rsidRPr="00000000" w:rsidDel="00000000">
        <w:rPr>
          <w:vertAlign w:val="superscript"/>
          <w:rtl w:val="0"/>
        </w:rPr>
        <w:t xml:space="preserve">2</w:t>
      </w:r>
      <w:r w:rsidR="00000000" w:rsidRPr="00000000" w:rsidDel="00000000">
        <w:rPr>
          <w:rtl w:val="0"/>
        </w:rPr>
        <w:t xml:space="preserve"> punktā, proti, ka augļu sulas vai augļu sulas no koncentrāta etiķetē produkta nosaukuma redzamības laukā var būt norāde "augļu sulas satur tikai dabīgu cukuru" (noteikumu projekta 1.17.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39. punkts noteic norādes, ka augļu nektāram nav pievienots cukurs, vai norādes ar līdzīgu nozīmi lietošanas nosacījumus augļu nektāru marķējumā. Minētais punkts noteic arī to, ka tad, ja cukuri ir augļu nektāra dabiska sastāvdaļa, marķējumā ir norāde "satur dabīgu cukuru". Savukārt direktīvā 2024/1438 ir precīzāk izteikta tiesību norma par norādes "satur dabīgus cukurus" lietošanu.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precīzi pārņemtu direktīvas 2024/1438 prasības par norāžu lietošanu augļu nektāru marķējumā, ir jāprecizē noteikumu Nr. 1113 39. punkta redakcija (noteikumu projekta 1.19.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2024/1438 6. pantā noteikti pārejas pasākumi attiecībā uz produktiem, kas laisti tirgū vai marķēti pirms 2026. gada 14. jūnija.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noslēguma jautājumi ir jāpapildina ar jaunu tiesību normu, proti,  ar 46. punktu, nosakot, ka produktus, kas laisti tirgū vai marķēti līdz 2026. gada 13. jūnijam, ir atļauts tirgot līdz to pilnīgai realizācijai (noteikumu projekta 1.20.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informatīvajā atsaucē uz Eiropas Savienības direktīvām nav ietverta direktīva 2024/1438.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informatīvā atsauce uz Eiropas Savienības direktīvām ir jāpapildina ar 4. apakšpunktu – atsauci uz direktīvu 2024/1438 (noteikumu projekta 1.21.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1113 neietver minimālās Briksa grādu vērtības kokosriekstu sulai no koncentrāta. Tā kā Eiropas Savienībā arvien vairāk tirgo un patērē no kokosriekstiem ekstrahētu sulu, direktīva 2024/1438 groza direktīvas 2001/112 V pielikumu, papildinot to ar kokosriekstiem, to botānisko nosaukumu un minimālo Briksa grādu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1. pielikumu izteikt jaunā redakcijā. Noteiktais augļu saraksts ir papildināts ar kokosriekstiem, to botānisko nosaukumu un minimālo Briksa grādu vērtību (noteikumu projekta 1.22.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 2024/1438 noteic konkrētu vietu, kur augļu sarakstā ir ietverami kokosrieksti, attiecīgi ir precizēta arī noteikumu Nr. 1113 1. pielikuma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dienvidos audzē </w:t>
      </w:r>
      <w:r w:rsidR="00000000" w:rsidRPr="00000000" w:rsidDel="00000000">
        <w:rPr>
          <w:i w:val="1"/>
          <w:rtl w:val="0"/>
        </w:rPr>
        <w:t xml:space="preserve">Cydonia oblonga</w:t>
      </w:r>
      <w:r w:rsidR="00000000" w:rsidRPr="00000000" w:rsidDel="00000000">
        <w:rPr>
          <w:rtl w:val="0"/>
        </w:rPr>
        <w:t xml:space="preserve"> L. sugas cidonijas, bet Latvijā augļu ieguvei tiek audzēta cita suga – Japānas cidonija (</w:t>
      </w:r>
      <w:r w:rsidR="00000000" w:rsidRPr="00000000" w:rsidDel="00000000">
        <w:rPr>
          <w:i w:val="1"/>
          <w:rtl w:val="0"/>
        </w:rPr>
        <w:t xml:space="preserve">Chaenomeles japonica</w:t>
      </w:r>
      <w:r w:rsidR="00000000" w:rsidRPr="00000000" w:rsidDel="00000000">
        <w:rPr>
          <w:rtl w:val="0"/>
        </w:rPr>
        <w:t xml:space="preserve">), ko latviski pareizi sauc par krūmcidoniju. Cidonijas no krūmcidonijām atšķiras gan ar dažādu ziedu krāsu, gan augļu formu, bet jo īpaši ar garšu, tāpēc, lai precīzi noteiktu prasību, ka minimālais sulas vai biezeņa saturs cidoniju nektārā (vismaz 50 procenti no gatavā produkta tilpuma) attiecas uz produktu, kas ir saražots no </w:t>
      </w:r>
      <w:r w:rsidR="00000000" w:rsidRPr="00000000" w:rsidDel="00000000">
        <w:rPr>
          <w:i w:val="1"/>
          <w:rtl w:val="0"/>
        </w:rPr>
        <w:t xml:space="preserve">Cydonia oblonga</w:t>
      </w:r>
      <w:r w:rsidR="00000000" w:rsidRPr="00000000" w:rsidDel="00000000">
        <w:rPr>
          <w:rtl w:val="0"/>
        </w:rPr>
        <w:t xml:space="preserve"> L. sugas cidonijām, direktīvā 2024/1438 pie cidoniju nosaukuma ir iekļauts tās latīniskais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2. pielikumu izteikt jaunā redakcijā. 2. pielikuma 1.22. apakšpunkts papildināts ar cidoniju latīnisko nosaukumu, proti, </w:t>
      </w:r>
      <w:r w:rsidR="00000000" w:rsidRPr="00000000" w:rsidDel="00000000">
        <w:rPr>
          <w:i w:val="1"/>
          <w:rtl w:val="0"/>
        </w:rPr>
        <w:t xml:space="preserve">Cydonia oblonga</w:t>
      </w:r>
      <w:r w:rsidR="00000000" w:rsidRPr="00000000" w:rsidDel="00000000">
        <w:rPr>
          <w:rtl w:val="0"/>
        </w:rPr>
        <w:t xml:space="preserve"> L. (noteikumu projekta 1.23.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Tirdzniecībā varēs ienākt jauns produktu veids, proti, augļu sulas un augļu sulas no koncentrāta ar samazinātu cukura saturu, tādējādi patērētājam palielināsies piedāvāto produktu klāsts.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nektāros tiks samazināts pievienotā cukura daudzums, padarot šos produktus veselīgākus.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augļu sulu ražotāji marķējumā varēs brīvprātīgi norādīt, ka augļu sulas satur tikai dabīgus cukurus, patērētājiem radīsies iespēja vieglāk izprast atšķirības starp augļu nektāru un augļu sulu, un patērētājs, pērkot produktus, varēs izdarīt ar informāciju pamatotu izvēli.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sulu un augļu nektāru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nektāru ražotājiem būs jāpiemērojas jaunajām prasībām attiecībā uz cukura un medus pievienošanas daudzumu augļu nektāros.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 virkne prasību jaunās augļu sulas kategorijas ar samazinātu cukura saturu ražošanai un marķēšanai – ja ražotāji izvēlēsies ražot šādu produktu, viņiem būs tāda iespēja šādu produktu ražot un izplatīt.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Nr. 1113 2. pielikuma 1.22. apakšpunktu, kurā noteikts minimālais sulas vai biezeņa saturs cidoniju nektārā. Precizējums attiecas uz latīniskā nosaukuma </w:t>
      </w:r>
      <w:r w:rsidR="00000000" w:rsidRPr="00000000" w:rsidDel="00000000">
        <w:rPr>
          <w:i w:val="1"/>
          <w:rtl w:val="0"/>
        </w:rPr>
        <w:t xml:space="preserve">Cydonia oblonga</w:t>
      </w:r>
      <w:r w:rsidR="00000000" w:rsidRPr="00000000" w:rsidDel="00000000">
        <w:rPr>
          <w:rtl w:val="0"/>
        </w:rPr>
        <w:t xml:space="preserve"> L. iekļaušanu pie augļa nosaukuma, tādējādi nepārprotami nosakot, ka cidoniju nektāram noteiktais minimālā sulas vai biezeņa saturs attiecas uz Eiropas dienvidu zemēs audzēto augli cidoniju (</w:t>
      </w:r>
      <w:r w:rsidR="00000000" w:rsidRPr="00000000" w:rsidDel="00000000">
        <w:rPr>
          <w:i w:val="1"/>
          <w:rtl w:val="0"/>
        </w:rPr>
        <w:t xml:space="preserve">Cydonia oblonga </w:t>
      </w:r>
      <w:r w:rsidR="00000000" w:rsidRPr="00000000" w:rsidDel="00000000">
        <w:rPr>
          <w:rtl w:val="0"/>
        </w:rPr>
        <w:t xml:space="preserve">L.). Latvijā, ražojot nektāru no krūmcidonijām (C</w:t>
      </w:r>
      <w:r w:rsidR="00000000" w:rsidRPr="00000000" w:rsidDel="00000000">
        <w:rPr>
          <w:i w:val="1"/>
          <w:rtl w:val="0"/>
        </w:rPr>
        <w:t xml:space="preserve">haenomeles</w:t>
      </w:r>
      <w:r w:rsidR="00000000" w:rsidRPr="00000000" w:rsidDel="00000000">
        <w:rPr>
          <w:i w:val="1"/>
          <w:rtl w:val="0"/>
        </w:rPr>
        <w:t xml:space="preserve"> japonica</w:t>
      </w:r>
      <w:r w:rsidR="00000000" w:rsidRPr="00000000" w:rsidDel="00000000">
        <w:rPr>
          <w:rtl w:val="0"/>
        </w:rPr>
        <w:t xml:space="preserve">), būs jāpiemēro noteikumu Nr. 1113 2. pielikuma 1.24. apakšpunktā "citi šīs kategorijas augļi" noteiktais minimālais sulas vai biezeņa saturs – 25 procenti no gatavā produkta tilpuma.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nektāriem, kam nav pievienoti cukuri vai saldinātāji, var būt uzturvērtības norāde "bez pievienota cukura" vai jebkura cita patērētājiem domāta norāde ar līdzīgu nozīmi kopā ar norādi "satur dabīgu cukuru". Augļu sulu marķējumā šāda veida norādi patlaban nedrīkst izmantot, jo augļu sulām nav atļauts pievienot cukuru, tāpēc ne visi patērētāji izprot atšķirību starp augļu nektāriem un augļu sulām un, izvēloties no vairākiem produktiem ar identisku vai ļoti līdzīgu uzturvielu sastāvu, priekšroku dod produktiem, kuriem ir uzturvērtības norāde. Lai novērstu nevienlīdzīgu konkurenci starp augļu sulu un augļu nektāru ražotājiem, kā arī lai patērētāji varētu izdarīt ar informāciju pamatotu izvēli, noteikumu projekts paredz, ka augļu sulu marķējumā varēs būt brīvprātīga norāde, proti, norāde, ka augļu sulas satur tikai dabīgu cukuru.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noteikumu Nr. 1113 2. punktā tiks ietverti jaunas kategorijas produkti – augļu sula ar samazinātu cukura saturu, augļu sulu no koncentrāta ar samazinātu cukura saturu un koncentrāts ar samazinātu cukura saturu. Augļu sulu ražotājiem tiks dota iespēja paplašināt ražojamo produktu klāstu ar minētajiem produktiem.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tiešas ietekmes uz noteikumiem Nr. 115.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Direktīva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2011R1169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 gada 25. oktobra Regula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(turpmāk – regula Nr. 1169/2011)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ietvertas atsauces uz regulā Nr. 1169/2011 noteiktajām marķējuma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2008R1333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16. decembra Regula (EK) Nr. 1333/2008 par pārtikas piedevām (turpmāk – regula Nr. 1333/2008).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atsauce uz regulu Nr. 1333/2008 nemaina noteikumu Nr. 1113 nosacījumus, jo jau bija iekļauta sākotnējā 13.2. apakšpunkta un 39. punkta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2008R1334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1334/2008 par aromatizētājiem un dažām pārtikas sastāvdaļām ar aromatizētāju īpašībām izmantošanai pārtikā un uz tās un par grozījumiem Padomes Regulā (EEK) Nr. 1601/91, Regulās (EK) Nr. 2232/96 un (EK) Nr. 110/2008 un Direktīvā 2000/13/EK (turpmāk – regula Nr. 1334/2008).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atsauce uz regulu Nr. 1334/2008 nemaina noteikumu Nr. 1113 nosacījumus, jo jau bija iekļauta sākotnējā 14.1. apakšpunkta redakcijā. Noteikumu Nr. 1113 14.1. apakšpunktā izdarīti tikai tehniski precizējumi – iekļauta saistītā atstarpe.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ieviestās no ES tiesību normām izrietošās tiesību normas netiek ietekmētas vai nepārņemtas.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atsauces uz regulu Nr. 1333/2008 un regulu Nr. 1334/2008 nemaina noteikumu Nr. 1113 nosacījumus, jo bija iekļautas jau sākotnējā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14. maija Direktīva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3. panta ievadteikumu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1.16.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31.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3. panta 1. punkta "b"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20.</w:t>
            </w:r>
            <w:r w:rsidR="00000000" w:rsidRPr="00000000" w:rsidDel="00000000">
              <w:rPr>
                <w:sz w:val="24"/>
                <w:vertAlign w:val="superscript"/>
                <w:rtl w:val="0"/>
              </w:rPr>
              <w:t xml:space="preserve">1</w:t>
            </w:r>
            <w:r w:rsidR="00000000" w:rsidRPr="00000000" w:rsidDel="00000000">
              <w:rPr>
                <w:sz w:val="24"/>
                <w:rtl w:val="0"/>
              </w:rPr>
              <w:t xml:space="preserve">, 21. un 40.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dalībvalstij dotā rīcības brīvība (sīkāks skaidrojums rīcības brīvības izmantošanas sadaļā)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"c"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Iekļauj Direktīvas 2001/112 3. panta 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1.17.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31.</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"d"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3. panta 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35.</w:t>
            </w:r>
            <w:r w:rsidR="00000000" w:rsidRPr="00000000" w:rsidDel="00000000">
              <w:rPr>
                <w:sz w:val="24"/>
                <w:b w:val="1"/>
                <w:rtl w:val="0"/>
              </w:rPr>
              <w:t xml:space="preserve"> </w:t>
            </w:r>
            <w:r w:rsidR="00000000" w:rsidRPr="00000000" w:rsidDel="00000000">
              <w:rPr>
                <w:sz w:val="24"/>
                <w:rtl w:val="0"/>
              </w:rPr>
              <w:t xml:space="preserve">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6. pantu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1.8., 1.9., 1.10., 1.11., 1.15. un 1.19.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3., 4., 11., 12., 13., 14., 14.</w:t>
            </w:r>
            <w:r w:rsidR="00000000" w:rsidRPr="00000000" w:rsidDel="00000000">
              <w:rPr>
                <w:sz w:val="24"/>
                <w:vertAlign w:val="superscript"/>
                <w:rtl w:val="0"/>
              </w:rPr>
              <w:t xml:space="preserve">1</w:t>
            </w:r>
            <w:r w:rsidR="00000000" w:rsidRPr="00000000" w:rsidDel="00000000">
              <w:rPr>
                <w:sz w:val="24"/>
                <w:rtl w:val="0"/>
              </w:rPr>
              <w:t xml:space="preserve">, 15., 16., 17., 21., 22., 24., 27., 29., 39. punkts un 1. un 2.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7.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Eiropas Komisijas pilnvarām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7. a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Eiropas Komisijas pilnvarām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Iekļauj Direktīvas 2001/112 7.b un 7. c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Eiropas Komisijas sadarbību ar Augu, dzīvnieku, pārtikas aprites un dzīvnieku barības pastāvīgo komiteju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6.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I un III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Normas tiek pārņemtas atbilstoši direktīvas 2024/1438 I pielikumam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IV pielikuma I iedaļas divdesmit ceturto rindu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2. pielikuma 1.22.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 Direktīvas 2001/112 V pielikuma rindām "Upenes" un "Vīnogas" iekļauj jaunu rindu.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1.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5.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un 1.21.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dalībvalstu direktīvas prasību pārņemšanas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1.20.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direktīvas spēkā stāšanos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nosaka, kam direktīva ir adresēta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1.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2001/112 I pielikuma I daļas 1. punkta "b" apakšpunkta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2001/112 I pielikuma I daļai pievieno 6. punkta "a"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1.4., 1.12.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2.7. apakšpunkts un 5.</w:t>
            </w:r>
            <w:r w:rsidR="00000000" w:rsidRPr="00000000" w:rsidDel="00000000">
              <w:rPr>
                <w:sz w:val="24"/>
                <w:vertAlign w:val="superscript"/>
                <w:rtl w:val="0"/>
              </w:rPr>
              <w:t xml:space="preserve">1 </w:t>
            </w:r>
            <w:r w:rsidR="00000000" w:rsidRPr="00000000" w:rsidDel="00000000">
              <w:rPr>
                <w:sz w:val="24"/>
                <w:rtl w:val="0"/>
              </w:rPr>
              <w:t xml:space="preserve">un 19.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2001/112 I pielikuma I daļai pievieno 6. punkta "b"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1.5. un 1.14.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2.8. apakšpunkts un 6.</w:t>
            </w:r>
            <w:r w:rsidR="00000000" w:rsidRPr="00000000" w:rsidDel="00000000">
              <w:rPr>
                <w:sz w:val="24"/>
                <w:vertAlign w:val="superscript"/>
                <w:rtl w:val="0"/>
              </w:rPr>
              <w:t xml:space="preserve">1</w:t>
            </w:r>
            <w:r w:rsidR="00000000" w:rsidRPr="00000000" w:rsidDel="00000000">
              <w:rPr>
                <w:sz w:val="24"/>
                <w:rtl w:val="0"/>
              </w:rPr>
              <w:t xml:space="preserve"> un 25.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2001/112 I pielikuma I daļai pievieno  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un 1.6.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2.9. apakšpunkts un 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1. punkta "c" apakšpunkta "i"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I pielikuma II daļas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1.8., 1.9., 1.15. un 1.19.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13.2. un 13.3. apakšpunkts, 14., 14.</w:t>
            </w:r>
            <w:r w:rsidR="00000000" w:rsidRPr="00000000" w:rsidDel="00000000">
              <w:rPr>
                <w:sz w:val="24"/>
                <w:vertAlign w:val="superscript"/>
                <w:rtl w:val="0"/>
              </w:rPr>
              <w:t xml:space="preserve">1</w:t>
            </w:r>
            <w:r w:rsidR="00000000" w:rsidRPr="00000000" w:rsidDel="00000000">
              <w:rPr>
                <w:sz w:val="24"/>
                <w:rtl w:val="0"/>
              </w:rPr>
              <w:t xml:space="preserve">, 29. un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1. punkta "c" apakšpunkta "ii"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I pielikuma II daļas 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1.10. un 1.11.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16.4. un 17.10.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2. punkta I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Aizstāj Direktīvas 2001/112 III pielikumu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21. un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dalībvalstij dotā rīcības brīvība, kas izriet no Direktīvas 2024/1438 2. panta 1. punkta "b" apakšpunkta (sīkāks skaidrojums rīcības brīvības izmantošanas sadaļā).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2. punkta II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direktīvas 2001/112 III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20.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"b" apakšpunktā ietvertā rīcības brīvība paredz, ka direktīvas 2001/112 III pielikumā doto īpašu apzīmējumu sarakstu izmanto kā alternatīvu direktīvā 2001/112 minēto produktu nosaukumiem, tos izmantojot noteiktajā valodā un ar paredzētajiem nosaukumiem. Direktīvas 2024/1438 I pielikuma 2. punkta I daļas "a – g" apakšpunktos ir ietverti dažādās dalībvalstīs vietējos dalībvalstu tirgos izplatāmi produkti un šo produktu tirdzniecības nosaukumi. Direktīvas 2024/1438 I pielikuma 2. punkta I daļas "a – g" apakšpunkti uz Latviju neattiecas, tādēļ minētās normas Latvija nepārņem.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Nr. 1113 (21. un 40. punkts) ir pārņemts direktīvas 2024/1438 I pielikuma 2. punkta I daļas "h" apakšpunkts, kurā ir ietverts Latvijā ražots produkts – smiltsērkšķu sula.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direktīvas 2024/1438 2. panta 1. punkta "b" apakšpunkts noteic, ka "attiecībā uz III pielikuma II daļā uzskaitītajiem apzīmējumiem dalībvalstis, kurās produktu laiž tirgū, var noteikt, ka minētie apzīmējumi ir jāizmanto vienā vai vairākās Savienības oficiālajās valodās". Latvijā dalībvalstij paredzētā rīcības brīvība tiek izmantota saskaņā ar Valsts valodas likuma 21. pantā paredzēto, kas nozīmē, ka informācija par pārtikas produktu patērētājam Latvijā tiek nodrošināta valsts valodā.</w:t>
            </w:r>
            <w:r w:rsidR="00000000" w:rsidRPr="00000000" w:rsidDel="00000000">
              <w:rPr>
                <w:sz w:val="24"/>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1., 3. un 4. pantos un II pielikumā dalībvalstij paredzētās rīcības brīvības nav attiecināmas uz šo noteikumu projektu un noteikumu Nr. 1113 darbības jomu, līdz ar to tās tiks/netiks ietvertas citos Ministru kabineta noteikumos.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1., 3. un 4. pants un II pielikums netiek pārņemti, jo neattiecas uz direktīvu 2001/112/EK un attiecīgi arī ne uz noteikumiem Nr. 1113.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1. panta norma tiks iekļauta Ministru kabineta 2015. gada 26. maija noteikumu Nr. 251 "Kvalitātes, klasifikācijas un papildu marķējuma prasības medum"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3. panta norma tiks iekļauta Ministru kabineta 2015. gada 3. novembra noteikumu Nr. 624 "Kvalitātes, klasifikācijas un papildu marķējuma prasības augļu džemam, ievārījumam, želejai, marmelādei un saldinātam kastaņu biezenim"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4. panta norma tiks iekļauta Ministru kabineta 2015. gada 15. septembra noteikumu Nr. 529 "Dehidrēto piena produktu kvalitātes, klasifikācijas un papildu marķējuma prasības" grozījumos.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 gada 25. oktobra Regula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(turpmāk – regula Nr. 1169/2011)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1169/2011,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31.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1169/2011 15., 35., 38., 39., 40., 41. un 45. pantā dalībvalstij noteiktā rīcības brīvība noteikumu projektā netiek izmantota, jo tā tiešā veidā neattiecas uz augļu sulām un tām līdzīgiem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1169/2011 17. pantā dalībvalstij dotā rīcības brīvība neattiecas uz noteikumu projektu, bet Latvijā ir izmantota un ieviesta ar šādiem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Ministru kabineta 2011. gada 1. februāra noteikumiem Nr. 97 "Noteikumi par klasifikācijas, kvalitātes un marķējuma prasībām piena produktiem un saliktiem piena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Ministru kabineta 2010. gada 30. septembra noteikumiem Nr. 926 "Kvalitātes un klasifikācijas prasības kvasam un kvasa (iesala) dzērienam";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Ministru kabineta 2015. gada 8. decembra noteikumiem Nr. 694 "Ābolu un bumbieru sidra obligātās nekaitīguma, kvalitātes un papildu marķējuma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Ministru kabineta 2015. gada 8. decembra noteikumiem Nr. 696 "Noteikumi par pārtikā lietojamu sāli".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pirms 2011. gada 12. decembra nav pieņemti noteikumi par neto daudzuma izteikšanu konkrētiem pārtikas produktiem, līdz ar to Latvija nepiemēro Nr. 1169/2011 42. pantā dalībvalstij doto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1169/2011 43. pantā dalībvalstij dotā rīcības brīvība Latvijā nav ieviesta, jo nozare nav vienojusies par vienotu uzturvērtības marķējuma shēmu iepakojuma priekšpusē, tādēļ šī iespēja nav iekļauta noteikumu projektā. Ievērojot Eiropas Komisijas apņemšanos izstrādāt vienotu ES uzturvērtības marķējuma shēmu iepakojuma priekšpusē, nav lietderīgi to izstrādāt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regulas Nr. 1169/2011 44. pantā dalībvalstij dotā rīcības brīvība Latvijā ir izmantota un paredzēta Ministru kabineta 2015. gada 20. oktobra noteikumos Nr. 595 "Prasības informācijas sniegšanai par nefasētu pārtiku".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1169/2011 VI pielikuma B daļā dalībvalstij dotā rīcības brīvība ir izmantota un paredzēta Ministru kabineta 2012. gada 10. jūlija noteikumos Nr. 489 "Latvijā iegūtas un vietējā tirgū izplatāmas gaļas, maltas gaļas, mehāniski atdalītas gaļas, gaļas izstrādājumu un gaļas produktu marķēšanas noteikumi", bet nav attiecināma uz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16. decembra Regula (EK) Nr. 1333/2008 par pārtikas piedevām (turpmāk – regula Nr. 1333/2008).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1333/2008,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un 1.19.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13.2. apakšpunkts un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1333/2008 27. pants paredz dalībvalstij nodrošināt pārtikas piedevu patēriņa un lietojuma monitoringa sistēmu. Tā kā Eiropas Komisijas strādā pie vienotas sistēmas izveides, Latvijai vienai pašai izveidot sistēmu nav ekonomiski pamatoti un lietderīgi, tādēļ Latvija minēto rīcības izvēli nav pārņēmusi.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13.2. apakšpunktā, 30., 38. un 39. punktā minētā regula Nr. 1333/2008 ir grozīta ar šādām regulām: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Komisijas 2011. gada 11. novembra Regulu (ES) Nr. 1129/2011, ar ko groza Eiropas Parlamenta un Padomes Regulas (EK) Nr. 1333/2008 II pielikumu, izveidojot Eiropas Savienības atļauto pārtikas piedevu sarakstu (turpmāk – regula Nr. 1129/2011).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1129/2011 1. pants noteic, ka Regulas Nr. 1129/2011 pielikums aizstāj regulas Nr. 1338/2008 II pielikumu, tostarp regulas Nr. 1333/2008 II pielikuma D daļu "Pārtikas produktu kategorija" 14. kategoriju "Dzērieni" un E daļas "Atļautās pārtikas piedevas un lietošanas nosacījumi pārtikas produktu kategorijās" ar kategorijas numuriem 14.1.2. un 14.1.3.;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Komisijas 2015. gada 24. aprīļa Regulu (ES) 2015/647, ar ko Eiropas Parlamenta un Padomes Regulas (EK) Nr. 1333/2008 II un III pielikumu groza un labo attiecībā uz konkrētu pārtikas piedevu lietošanu (turpmāk – regula 2015/647). Regulas 2015/647 2. pants noteic, ka tās II pielikums groza regulas Nr. 1333/2008 III pielikumu. Regulas 2015/647 II pielikuma 1. punkts izsaka regulas Nr. 1333/2008 III pielikuma 4. daļu "Pārtikas piedevas, tostarp, nesējvielas, pārtikas aromatizētājos" jaunā redakcijā.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(EK) Nr. 1334/2008 par aromatizētājiem un dažām pārtikas sastāvdaļām ar aromatizētāju īpašībām izmantošanai pārtikā un uz tās un par grozījumiem Padomes Regulā (EEK) Nr. 1601/91, Regulās (EK) Nr. 2232/96 un (EK) Nr. 110/2008 un Direktīvā 2000/13/EK (turpmāk – regula Nr. 1334/2008).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1334/2008,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14.1.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1334/2008 20. pants noteic dalībvalstīm ieviest aromatizētāju un dažu pārtikas sastāvdaļu ar aromatizētāju īpašībām patēriņa un lietojuma monitoringa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Eiropas Komisijas strādā pie vienotas sistēmas izveides, Latvijai vienai pašai izveidot sistēmu nav ekonomiski pamatoti un lietderīgi, tādēļ Latvija minēto rīcības izvēli nav pārņēmusi.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1113 14.1. apakšpunktā minētā regula Nr. 1334/2008 ir grozīta ar Komisijas 2024. gada 15. janvāra Regulu (ES) 2024/238, ar ko attiecībā uz noteiktu aromatizējošu vielu ierobežojumu ieviešanu groza Eiropas Parlamenta un Padomes Regulas (EK) Nr. 1334/2008 I pielikumu (turpmāk – regula 2024/238).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2024/238 1. pants noteic, ka regulas 2024/238 pielikums aizstāj regulas Nr. 1334/2008 I pielikumu, tostarp regulas Nr. 1333/2008 I pielikuma A daļas "Aromatizējošo vielu Savienības saraksts" 1. sadaļas 14. kategoriju "Dzērieni" ar kategorijas numuriem 14.1.2. un 14.1.3.</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https://tapportals.mk.gov.lv/public_participation/f1bf79a5-dd69-4fb3-83f5-eb0964ed6037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nav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veiks uzraudzību un kontroli, pildot esošās funkcijas.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būs pieejami jauni produkti ar samazinātu cukura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24-TA-2227</w:t>
    </w:r>
    <w:r>
      <w:br/>
    </w:r>
    <w:r w:rsidR="00000000" w:rsidRPr="00000000" w:rsidDel="00000000">
      <w:rPr>
        <w:rtl w:val="0"/>
      </w:rPr>
      <w:t xml:space="preserve">Izdrukāts 29.07.2026. 23.55 - 5.0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24-TA-2227</w:t>
    </w:r>
    <w:r>
      <w:br/>
    </w:r>
    <w:r w:rsidR="00000000" w:rsidRPr="00000000" w:rsidDel="00000000">
      <w:rPr>
        <w:rtl w:val="0"/>
      </w:rPr>
      <w:t xml:space="preserve">Izdrukāts 29.07.2026. 23.55 - 5.0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anotācija_(ex_ante)_24-TA-2227.docx</dc:title>
</cp:coreProperties>
</file>

<file path=docProps/custom.xml><?xml version="1.0" encoding="utf-8"?>
<Properties xmlns="http://schemas.openxmlformats.org/officeDocument/2006/custom-properties" xmlns:vt="http://schemas.openxmlformats.org/officeDocument/2006/docPropsVTypes"/>
</file>