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6.1.1. specifiskā atbalsta mērķa "Pārejas uz klimatneitralitāti radīto ekonomisko, sociālo un vides seku mazināšana visvairāk skartajos reģionos" 6.1.1.2. pasākuma "Pētniecības attīstība dabas resursu ilgtspējīgai izmantošanai vides un klimata mērķu kontekstā"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"Eiropas Savienības kohēzijas politikas programmas 2021.–2027. gadam 6.1.1. specifiskā atbalsta mērķa "Pārejas uz klimatneitralitāti radīto ekonomisko, sociālo un vides seku mazināšana visvairāk skartajos reģionos" 6.1.1.2. pasākuma "Pētniecības attīstība dabas resursu ilgtspējīgai izmantošanai vides un klimata mērķu kontekstā" īstenošanas noteikumi" (turpmāk – noteikumu projekts) ir izstrādāts pēc Izglītības un zinātnes ministrijas  iniciatīvas un saskaņā ar Eiropas Savienības fondu 2021.–2027. gada plānošanas perioda vadības likuma 19. panta 6. un 13.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 6.1.1.2. pasākuma "Pētniecības attīstība dabas resursu ilgtspējīgai izmantošanai vides un klimata mērķu kontekstā" īstenošanas nosacījumus, lai nodrošinātu atbalstu pētījumu platformas un izcilības centra izveidei, kura ietvaros tiks atbalstīta pilotprojektu un demonstrācijas projektu īstenošana saistībā ar dabas resursu ilgtspējīgu izmantošanu, lai nodrošinātu virzību uz klimatneitrālu ekonomiku un mazinātu riskus saistībā ar klimata pārmaiņām visvairāk skartajos reģionos, veicinot sociālekonomisko seku mazināšanu.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Taisnīgas pārkārtošanās teritoriālajam plānam[1] (turpmāk – TPTP) viena no siltumnīcefekta gāzes ietilpīgākajām nozarēm zemes izmantošanas, zemes izmantošanas maiņas un mežsaimniecības sektorā (turpmāk - ZIZIMM) Latvijā ir kūdras nozare. Siltumnīcefekta gāzes emisijas no mitrājiem un kūdras ieguves enerģijai, kā arī ieguves dārzkopībai veido ~13% no kopējām emisijām, ieskaitot ZIZIMM un netiešās CO2 emisijas. Lai veicinātu ekonomikas zaļo pārkārtošanos, TPTP ietvaros Latvijā līdz 2030. gadam plānots atteikties no kūdras izmantošanas enerģētikā.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plānotie zaļās pārkārtošanās virzieni ir saskanīgi ar ilgtermiņa un vidējā termiņa attīstības plānošanas dokumentiem – Kūdras ilgtspējīgas izmantošanas pamatnostādnēm 2020.-2030. gadam, Nacionālo enerģētikas un klimata plānu 2021.-2030. gadam, Latvijas pielāgošanās klimata pārmaiņām plānu līdz 2030.gadam, Nacionālo attīstības plānu 2021.-2027.gadam, Zinātnes, tehnoloģijas attīstības un inovācijas pamatnostādnēm 2021. – 2027. gadam (turpmāk - ZTAIP), un citiem plānošanas dokumentiem, kuru mērķis ir mazināt tautsaimniecības, infrastruktūras, apbūves, cilvēku un dabas ievainojamību no klimata pārmaiņu ietekmēm un veicināt klimata pārmaiņu radīto iespēju izmantošanu, kā arī reģionālās attīstības atšķirību mazināšanos.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TPTP ietvertajiem pārkārtošanās virzieniem tiktu īstenots gan Viedās specializācijas stratēģijas  (turpmāk - RIS3), gan Nacionālās industriālās politikas pamatnostādnēs 2021-2027.gadam paredzētais, atbalstot augstākas pievienotās vērtības pakalpojumu un produktu veidošanās stimulēšanu, zināšanu pārnesi un efektīvāku resursu izmantošanu uzņēmējdarbības ciklos, darbojoties augstas pievienotās vērtības nozarēs un izmantojot energoefektīvākus ražošanas risinājumus, tiktu veicināta klimata mērķu 2030. un 2050.gadam sasniegšana.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(turpmāk – ES) padomes rekomendācijas (2019., 2020.) aicina virzīt investīcijas uz zaļo pārkārtošanos – tīrā enerģijā, ilgtspējīgā transportā, resursu efektivitātē un ēku energoefektivitātē. ES padomes rekomendācijas (2022.) [2] arī aicina samazināt vispārējo atkarību no fosilā kurināmā un dažādot fosilā kurināmā importu, paātrinot atjaunojamo energoresursu  izmantošanu, nodrošinot pietiekamu starpsavienojumu jaudu, dažādojot enerģijas piegādes un maršrutus un samazinot kopējo enerģijas patēriņu, izmantojot vērienīgus energoefektivitātes pasākumus.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attīstības plāns 2021.–2027. gadam[3] (turpmāk – NAP2027) kā vienu no prioritātēm iezīmē Rīcības virzienu “Zinātne sabiedrības attīstībai, tautsaimniecības izaugsmei un drošībai” uzsverot, ka klimata pārmaiņas, ģeopolitiskās situācijas pārmaiņas, augsta nevienlīdzība, straujā tehnoloģiju attīstība un pieaugošā migrācija rada Latvijas sabiedrībai un drošībai jaunus izaicinājumus, kuru risināšanai ir nepieciešams ieguldījums P&amp;A.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NAP 2027 nosaka rīcības virziena uzdevumu: [143] Zinātnes izcilības stiprināšana sabiedrības izaicinājumu risināšanai, attīstot un koplietojot nacionālas nozīmes pētniecības infrastruktūru un stratēģiski iesaistoties, tai skaitā iesaistot diasporas zinātniekus, (līdzfinansēšana, pārfinansēšana, papildinošās darbības) Eiropas un pasaules pētniecības un inovāciju iniciatīvās un pasākumos, kas stiprina P&amp;A sistēmas konkurētspēju un starptautisko atvērtību.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kūdras ieguves un pārstrādes uzņēmumiem kūdra ir nozīmīgs eksporta materiāls. Latvijā kūdru iegūst un izmanto arī enerģijas ražošanā, lai gan lielākā daļa iegūtās kūdras ieguves apjoma tiek izmantota dārzkopībā (&gt;95%). Turklāt kūdras nozare ir viena no SEG ietilpīgākajām nozarēm Latvijā saskaņā ar ZIZIMM sektora datiem. Daļa no emisijām rodas arī kūdras ieguves procesā, daļa vēsturiskajās kūdras ieguves vietās, kam ir nepieciešama rekultivācija. Kaut arī kūdras ieguve rada SEG emisijas, izmantojot kūdru augu audzēšanai, notiek arī CO2 piesaiste.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ekonomikas pārkārtošanos virzībā uz klimatneitralitāti Taisnīgas pārkārtošanās teritoriālā plāna (TPTP) ietvaros Latvija plāno atteikties no kūdras izmantošanas enerģētikā līdz 2030.gadam. TPTP darbībām pieejamais Taisnīgas pārkārtošanās fonda instrumenta finansējums pētniecības un inovāciju aktivitātēm paredzēts darbības virzienā: “Dabas resursu ilgtspējīga izmantošana t.sk. pētniecības attīstība dabas resursu ilgtspējīgai izmantošanai vides un klimata mērķu kontekstā”. Šī darbības virziena ietvaros izveidotā pētījumu platformas- izcilības centra (pētījumu platformas) aktivitātes veicinās dabas resursu ilgtspējīgu izmantošanu atbalstāmajos reģionos fokusējoties uz klimatneitralitātes veicināšanu kūdras nozarē.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Pētījumu platformas P&amp;I aktivitātes būs mērķētas Kurzemes, Latgales, Vidzemes un Zemgales statistiskajiem reģioniem (saskaņā ar 2022. gada 25. novembrī spēkā esošo Statistiski teritoriālo vienību nomenklatūras 3. līmeņa (NUTS 3. līmenis) klasifikāciju). Tādējādi tiks nodrošināts lielākais TPTP devums SEG emisiju samazinājumam plānotā pārkārtošanās procesa nodrošināšanai. Taisnīgas pārkārtošanās teritoriālā plāna mērķu sasniegšanai nepieciešamas pētniecības un inovāciju (P&amp;I) aktivitātes attīstot kūdras nozarei pielāgotus risinājumus, kuras sniegs tiešu pienesumu klimatneitralitātes mērķu sasniegšanai līdz 2050.gadam. Pētījumu platformas-izcilības centra aktivitātes ietvaros radītie risinājumi dabas resursu ilgtspējīgai izmantošanai kūdras nozarē veicinās ekonomikas diversifikāciju atbalstāmajos reģionostiks nodrošināts lielākais TPTP devums SEG emisiju samazinājumam plānotā pārkārtošanās procesa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https://likumi.lv/ta/id/334018-par-taisnigas-parkartosanas-teritorialo-planu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chrome-extension://efaidnbmnnnibpcajpcglclefindmkaj/https://data.consilium.europa.eu/doc/document/ST-9839-2023-REV-1/lv/pdf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[3]https://www.pkc.gov.lv/sites/default/files/inline-files/NAP2027_apstiprin%C4%81ts%20Saeim%C4%81_1.pdf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w:t>
      </w:r>
      <w:r w:rsidR="00000000" w:rsidRPr="00000000" w:rsidDel="00000000">
        <w:rPr>
          <w:i w:val="1"/>
          <w:rtl w:val="0"/>
        </w:rPr>
        <w:t xml:space="preserve">Eurostat</w:t>
      </w:r>
      <w:r w:rsidR="00000000" w:rsidRPr="00000000" w:rsidDel="00000000">
        <w:rPr>
          <w:rtl w:val="0"/>
        </w:rPr>
        <w:t xml:space="preserve"> datiem, Latvijas kopējie P&amp;A ieguldījumi 2021. gadā bija 0.75% no IKP – 3. zemākais rādītājs Eiropas Savienībā un aptuveni trešdaļa no Eiropas Savienības vidējā P&amp;A ieguldījuma IKP izteiksmē [1], savukārt Eiropas Inovāciju rādītājā Latvija ierindojas 25. vietā starp 27 ES dalībvalstīm [2]. Nepietiekamus ieguldījumus P&amp;A un ar tiem saistītus trūkumus Latvijas inovāciju ekosistēmā identificē gan NAP2027, gan Zinātnes, tehnoloģijas attīstības un inovācijas pamatnostādnes 2021.-2027. gadam (turpmāk - ZTAIP) [3].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NAP2027 prioritātēs “Zināšanas un prasmes personības un valsts izaugsmei” un “Uzņēmumu konkurētspēja un materiālā labklājība” iezīmēti tādi izaicinājumi kā “Nepietiekams atbalsts inovācijai un vāja sadarbība starp iesaistītajām pusēm, lai sniegtu ekonomisko un sociālekonomisko ieguvumu no pētnieciskās darbības un inovācijas” un “Zemi ieguldījumi P&amp;A, nepietiekama valsts, uzņēmējdarbības un zinātnes sadarbība”, kas apgrūtina inovāciju un augstas pievienotās vērtības produktu un pakalpojumu attīstību, kā arī apgrūtina Latvijas starptautisko konkurētspēju. Pasākums sniegs ieguldījumu NAP2027 minēto izaicinājumu risināšanā, gan sniedzot tiešu ieguldījumu P&amp;A, gan tematiskās pētījumu platformas ietvaros veicinot sadarbību starp zinātniskajām institūcijām un komercsektoru. Rīcības virziena "Zinātne sabiedrības attīstībai, tautsaimniecības izaugsmei un drošībai" uzdevums, kas atbilst pasākumam: 144. Publiskajā sektorā radīto zināšanu pārnese Latvijas mazajiem uzņēmumiem, sociālajiem uzņēmumiem, sabiedriskajām organizācijām un radošajām industrijām, tai skaitā veicinot atvērto datubāzu pieejamību un izmantošanu; Rīcības virziena "Produktivitāte, inovācija un eksports" uzdevumi, kas atbilst pasākumam: 200. Valsts, uzņēmēju un zinātnes sadarbības, zināšanu pārneses, jaunu produktu un pakalpojumu attīstības un cilvēkresursu piesaistes reģionos atbalstīšana, koncentrējot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pieejamo atbalstu un neveicinot privāto investīciju aizvietošanu; un 201. Stratēģisku inovācijas partnerību un ekosistēmu attīstības atbalstīšana, t. sk. reģionālo zināšanu partnerību attīstībai un dizaina inovācijai.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ZTAIP 2. apakšmērķa “Paaugstināt inovācijas kapacitāti, zināšanu un pētniecības sociālo un ekonomisko vērtību” 2.2. Rīcības virziena “Zināšanu un tehnoloģiju pārnese inovācijas attīstībai” aprakstā norādīts, ka P&amp;A ir būtiska arī līdzsvarotas reģionālās attīstības veicināšanai, jo īpaši reģionos izplatīto tradicionālo ekonomikas nozaru transformācijai uz lielāku resursefektivitāti un produktivitāti. Pasākums palīdzēs attīstīt jaunas tehnoloģijas un produktus kūdras nozares klimatneitralitātes veicināšanai, kā arī atbalstu reģioniem pārkārtošanās radītās sociālās un ekonomiskās ietekmes mazināšanai, iesaistot reģionu zinātniskās institūcijas un komersantus.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[1]https://ec.europa.eu/eurostat/databrowser/view/RD_E_GERDTOT__custom_7575142/bookmark/table?lang=en&amp;bookmarkId=2f679e72-db59-443e-b01c-ccc3d8ad3bf0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[2]https://op.europa.eu/en/web/eu-law-and-publications/publication-detail/-/publication/04797497-25de-11ee-a2d3-01aa75ed71a1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https://likumi.lv/ta/id/322468-par-zinatnes-tehnologijas-attistibas-un-inovacijas-pamatnostadnem-20212027-gadam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Kūdras un dabas resursu pētniecības platforma  ir investīciju virziena "Kūdras nozares SEG emisiju samazināšanas pasākumi un atbalsts reģionālās ekonomikas pārstrukturēšanai, mazinot sociālekonomiskās sekas pārejā uz klimatneitrālu ekonomiku" īstenošanas ietvaros plānotā aktivitāte. Aktivitātes ietvaros paredzēts izveidot pētījumu platformu- izcilības centru ar mērķi attīstīt nepieciešamo P&amp;I kapacitāti un kompetences, kas spētu sniegt pienesumu TPTP atbalstāmajos reģionos, paātrinot zināšanu un tehnoloģijas pārneses, pilotprojektu un demonstrācijas projektu īstenošanu, atvērtās laboratorijas (</w:t>
      </w:r>
      <w:r w:rsidR="00000000" w:rsidRPr="00000000" w:rsidDel="00000000">
        <w:rPr>
          <w:i w:val="1"/>
          <w:rtl w:val="0"/>
        </w:rPr>
        <w:t xml:space="preserve">OpenLab</w:t>
      </w:r>
      <w:r w:rsidR="00000000" w:rsidRPr="00000000" w:rsidDel="00000000">
        <w:rPr>
          <w:rtl w:val="0"/>
        </w:rPr>
        <w:t xml:space="preserve">) sadarbības mehānismu izveidi, jaunu pētniecībā balstītu ideju ieviešanu, kā arī veicinātu starptautisko sadarbību pētniecībā. Lai nodrošinātu zināšanu pārnesi un savstarpējo sadarbību starp ZI, tiks iesaistītas Latvijas nozīmīgākās ZI, kas sadarbībā ar komercsektoru nodrošinās pētniecībā balstītu ideju ieviešanu.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pasākumu plānota Taisnīgas pārkārtošanās teritoriālā plāna mērķu sasniegšana kūdras nozares kontekstā pētniecības inovāciju veicināšana attīstot pielāgotus risinājumus, sasniegt klimatneitralitātes mērķus radot inovatīvus ilgtspējīgus risinājumus dabas resursu ieguvē, pārstrādē, un augtas pievienotas vērtības produktu izstrādē veicinot ekonomikas diversifikāciju.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 6.1.1.2.pasākumu plānots ieviest </w:t>
      </w:r>
      <w:r w:rsidR="00000000" w:rsidRPr="00000000" w:rsidDel="00000000">
        <w:rPr>
          <w:b w:val="1"/>
          <w:rtl w:val="0"/>
        </w:rPr>
        <w:t xml:space="preserve">atklātas </w:t>
      </w:r>
      <w:r w:rsidR="00000000" w:rsidRPr="00000000" w:rsidDel="00000000">
        <w:rPr>
          <w:rtl w:val="0"/>
        </w:rPr>
        <w:t xml:space="preserve">projektu iesniegumu</w:t>
      </w:r>
      <w:r w:rsidR="00000000" w:rsidRPr="00000000" w:rsidDel="00000000">
        <w:rPr>
          <w:b w:val="1"/>
          <w:rtl w:val="0"/>
        </w:rPr>
        <w:t xml:space="preserve"> atlases</w:t>
      </w:r>
      <w:r w:rsidR="00000000" w:rsidRPr="00000000" w:rsidDel="00000000">
        <w:rPr>
          <w:rtl w:val="0"/>
        </w:rPr>
        <w:t xml:space="preserve">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Projekta iesniedzējs</w:t>
      </w:r>
      <w:r w:rsidR="00000000" w:rsidRPr="00000000" w:rsidDel="00000000">
        <w:rPr>
          <w:rtl w:val="0"/>
        </w:rPr>
        <w:t xml:space="preserve"> pasākuma ietvaros ir zinātniskā institūcija, kas 2019. gada zinātnisko institūciju darbības starptautiskajā novērtējumā ieguvusi vismaz četru ballu novērtējumu vai zinātnes universitāte, kas var iesniegt ar saimniecisku darbību nesaistītu projektu, ja projekta iesniedzējs kā zinātniskā institūcija atbilst pētniecības organizācijas definīcijai.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kā vadošā institūcija piesaista vismaz divus </w:t>
      </w:r>
      <w:r w:rsidR="00000000" w:rsidRPr="00000000" w:rsidDel="00000000">
        <w:rPr>
          <w:b w:val="1"/>
          <w:rtl w:val="0"/>
        </w:rPr>
        <w:t xml:space="preserve">sadarbības partnerus</w:t>
      </w:r>
      <w:r w:rsidR="00000000" w:rsidRPr="00000000" w:rsidDel="00000000">
        <w:rPr>
          <w:rtl w:val="0"/>
        </w:rPr>
        <w:t xml:space="preserve">, kopā veidojot konsorciju no vismaz trīs zinātniskajām institūcijām, starp kurām ir vismaz divas zinātnes universitātes un vismaz viena zinātniskā institūcija, kura 2019. gada zinātnisko institūciju darbības starptautiskajā novērtējumā  ieguvusi vismaz četru ballu novērtējumu, ieskaitot vadošo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kā sadarbības partneri pēc nepieciešamības iesaistāmas arī citas Latvijas Republikā reģistrētas universitātes, augstskolas un zinātniskās institūcijas.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plānots atbalstīt </w:t>
      </w:r>
      <w:r w:rsidR="00000000" w:rsidRPr="00000000" w:rsidDel="00000000">
        <w:rPr>
          <w:b w:val="1"/>
          <w:rtl w:val="0"/>
        </w:rPr>
        <w:t xml:space="preserve">viena projekta īstenošanu</w:t>
      </w:r>
      <w:r w:rsidR="00000000" w:rsidRPr="00000000" w:rsidDel="00000000">
        <w:rPr>
          <w:rtl w:val="0"/>
        </w:rPr>
        <w:t xml:space="preserve"> par visu pasākumam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 atbalstāmās darbības un risinājumi mērķēti Kurzemes, Latgales, Vidzemes un Zemgales statistiskajiem reģioniem saskaņā ar 2022. gada 25. novembrī spēkā esošo Statistiski teritoriālo vienību nomenklatūras 3. līmeņa (NUTS 3. līmenis) klasifikāciju.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w:t>
      </w:r>
      <w:r w:rsidR="00000000" w:rsidRPr="00000000" w:rsidDel="00000000">
        <w:rPr>
          <w:b w:val="1"/>
          <w:rtl w:val="0"/>
        </w:rPr>
        <w:t xml:space="preserve">mērķa grupa</w:t>
      </w:r>
      <w:r w:rsidR="00000000" w:rsidRPr="00000000" w:rsidDel="00000000">
        <w:rPr>
          <w:rtl w:val="0"/>
        </w:rPr>
        <w:t xml:space="preserve"> ir reģionu kūdras nozares un saistīto nozaru iestādes, uzņēmumi, kurus skar ekonomiskā transformācija, zinātniskās institūcijas un zinātniskie darbinieki, kā arī reģionos nodarbinātie speciālisti kūdras un saistītajās nozarēs.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līdz 2029. gada 31. decembrim jāsasniedz šādi </w:t>
      </w:r>
      <w:r w:rsidR="00000000" w:rsidRPr="00000000" w:rsidDel="00000000">
        <w:rPr>
          <w:b w:val="1"/>
          <w:rtl w:val="0"/>
        </w:rPr>
        <w:t xml:space="preserve">rādītāji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iznākuma rādītājs – uzņēmumi, kas sadarbojas ar pētniecības organizācijām - vismaz pieci;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rezultāta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zinātnisko rakstu skaits, kuru izstrādei un publicēšanai ir sniegts atbalsts - vismaz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pētniecības pieteikumu sagatavošana un iesniegšana pētnieciskajos konkursos - vismaz trīs pētniecības pieteikumi.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Pasākumā tiek atbalstīts </w:t>
      </w:r>
      <w:r w:rsidR="00000000" w:rsidRPr="00000000" w:rsidDel="00000000">
        <w:rPr>
          <w:b w:val="1"/>
          <w:rtl w:val="0"/>
        </w:rPr>
        <w:t xml:space="preserve">pētniecības projekta pieteikums</w:t>
      </w:r>
      <w:r w:rsidR="00000000" w:rsidRPr="00000000" w:rsidDel="00000000">
        <w:rPr>
          <w:rtl w:val="0"/>
        </w:rPr>
        <w:t xml:space="preserve">, kas izstrādāts, lai īstenotu mērķi “pētniecības attīstība dabas resursu ilgtspējīgai izmantošanai un klimatneitralitātes veicināšanai kūdras nozarē” un šī mērķa sasniegšanai tiek </w:t>
      </w:r>
      <w:r w:rsidR="00000000" w:rsidRPr="00000000" w:rsidDel="00000000">
        <w:rPr>
          <w:b w:val="1"/>
          <w:rtl w:val="0"/>
        </w:rPr>
        <w:t xml:space="preserve">noteikti šādi tematiskie uzdevum</w:t>
      </w:r>
      <w:r w:rsidR="00000000" w:rsidRPr="00000000" w:rsidDel="00000000">
        <w:rPr>
          <w:rtl w:val="0"/>
        </w:rPr>
        <w:t xml:space="preserv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kūdras nozares siltumnīcefekta gāzu (SEG) emisiju un ogļskābās gāzes (CO2) piesaistes izpēte, tai skaitā rekultivācijas aktivitāšu izvērtējums siltumnīcefekta gāzu emisiju emisiju mazināšanai un ogļskābās gāzes piesaistei  kūdras ieguves vietās, degradētos purvos, dabiskos purvos un rekultivētās platībās, izpēte par oglekļa saturu un uzglabāšanos kūdrā pēc tās iegūšanas un dažādos kūdras produktos;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siltumnīcefekta gāzu emisiju inventarizācijas metodes pilnveidošana, tai skaitā kūdras vietējā patēriņa makroekonomiskais novērtējums un tā loma siltumnīcefekta gāzu emisiju samazināšanā;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siltumnīcefekta gāzu (SEG) emisiju mazinošas, klimatam draudzīgākas kūdras ieguves un apstrādes tehnoloģijas un risinājumi degradēto purvu, nerekultivēto vēsturisko ieguves vietu un tām piegulošo ietekmēto teritoriju rekultivācijas aktivitātēm, tai skaitā pilotprojekti un demonstrāciju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jaunas tehnoloģijas un produkti kūdras nozares klimatneitralitātes veicināšanai, tai skaitā inovatīvu kūdru saturošu produktu ar augstu pievienoto vērtību izstrāde, piemēram, filtru, sorbentu, celtniecības materiālu, izejvielu ķīmiskajai rūpniecībai, tekstilrūpniecībai, dekoratīvā dizaina un mākslas produktu izstrāde, risinājumi resursu atkārtotai izmantošana kūdras nozarē, kūdras substrātu uzlabošana lietošanai dārzkopībā un mežsaimniecībā;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sociālekonomiskais novērtējums un nākotnes scenāriju izstrāde par rekultivēto kūdras ieguves vietu turpmākām izmantošanas iespējām un bioloģiskās daudzveidības saglabāšanu tajās, tai skaitā no jauna radīto darba vietu potenciāla novērtējums, stādu audzēšanas iespēju izpēte un radīto produktu eksporta potenciāla novērtējums un nākotnes ilgtspējas ietekmes aprēķina vadlīniju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Iesniedzot projekta iesniegumu finansējuma saņēmējs pielikumā pievieno vismaz piecus pētniecības pieteikumus (apakšprojektus), kas izstrādāti visos piecos MK noteikumu 13. punktā noteiktajos tematiskajos uzdevumos.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īstenošanai ir noteikti šādi </w:t>
      </w:r>
      <w:r w:rsidR="00000000" w:rsidRPr="00000000" w:rsidDel="00000000">
        <w:rPr>
          <w:b w:val="1"/>
          <w:rtl w:val="0"/>
        </w:rPr>
        <w:t xml:space="preserve">kopīgi (horizontālie) uzdevumi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veidot un attīstīt starpdisciplināras un iekļaujošas starptautiski konkurētspējīgas zinātnieku grupas, kas zinātniskajā darbībā izmanto pasaules zinātnieku atzītas pētniecības metodes un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attīstīt zinātnisko grupu un attiecīgo tautsaimniecības nozaru speciālistu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attīstīt starptautisko sadarbību pētniecībā, tostarp iesaistoties starptautiskajos sadarbības tīklos un konsorcijos, tai skaitā ar Eiropas pētniecības infrastruktūru konsorcijiem un izstrādājot projektu pieteikumus Eiropas Savienības fondu un citām starptautiskajām pētniecības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attīstīt inovatīvus risinājumus un veicināt to plašāku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nodrošināt pētniecības rezultātu publisku pieejamību, tai skaitā publicēt rezultātus brīvpiekļuves žurnālos un deponēt jauniegūtus pētniecības datus pētniecības datu repozitorijos, veicinot datu atkārtotu lietojamību atbilstoši "FAIR" principiem (atrodamība, pieejamība, sadarbspēja, atkārtota lietojamība);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nodrošināt publicitātes un komunikācijas aktivitātes, tostarp vismaz reizi gadā projekta īstenošanas laikā organizējot semināru, lai informētu sabiedrību un nodrošinātu programmas atpazīstamību un rezultātu izplatīšanu, kā arī tādējādi iesaistītu atbilstošās mērķa grupas un veicinātu zināšanu pārnesi, izpratni par pētniecības lomu un devumu sabiedrībai nozīmīgu jautājumu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nodrošināt studējošo, sevišķi doktorantu, un jauno zinātnieku iesaisti projekta uzdevumu izpildē, lai nodrošinātu kūdras nozares vajadzības pēc augstākas kvalifikācijas speciālistiem, tai skaitā nodrošinot sasaisti ar jomai atbilstošajām doktorantūras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nodrošināt projektā radīto zināšanu iekļaušanu mācību moduļu izstrādē pamatstudiju un tālākizglītības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nodrošināt kopīgas datu bāzes izveidi Latvijas Atvērtās zinātnes platformā un piekļuvi projektā radītajām zināšanām.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aktivitātēm un radītajiem risinājumiem jābūt mērķētiem aptverot atbalstāmos reģionus.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Pētniecības projektu pieteikumiem jābūt vērstiem uz risinājumu mēroga palielināšanu un pakalpojumu pasākumu kopumu izveidošanu nozares vajadzībām.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Konsorcija sadarbības rezultātā jāveido informācijas centrs rezultātu ilgtspējas nodrošināšanai un nozares izturētspējai, kas ietver kūdras nozares pētniecības kompetenču un infrastruktūras kartējuma publicēšanu interneta vietnē.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Konsorcijam jāsadarbojas ar vismaz pieciem komersantiem pētniecības vajadzību definēšanai.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rezultāti un to plānotā ietekme saistīta ar iegūto zināšanu nodošanu, iesaistot sabiedrību, kas sekmēs kopienas prasmju bāzi un attīstības potenciālu.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plānotais </w:t>
      </w:r>
      <w:r w:rsidR="00000000" w:rsidRPr="00000000" w:rsidDel="00000000">
        <w:rPr>
          <w:b w:val="1"/>
          <w:rtl w:val="0"/>
        </w:rPr>
        <w:t xml:space="preserve">kopējais finansējums</w:t>
      </w:r>
      <w:r w:rsidR="00000000" w:rsidRPr="00000000" w:rsidDel="00000000">
        <w:rPr>
          <w:rtl w:val="0"/>
        </w:rPr>
        <w:t xml:space="preserve"> ir 5 981 103 </w:t>
      </w:r>
      <w:r w:rsidR="00000000" w:rsidRPr="00000000" w:rsidDel="00000000">
        <w:rPr>
          <w:i w:val="1"/>
          <w:rtl w:val="0"/>
        </w:rPr>
        <w:t xml:space="preserve">euro</w:t>
      </w:r>
      <w:r w:rsidR="00000000" w:rsidRPr="00000000" w:rsidDel="00000000">
        <w:rPr>
          <w:rtl w:val="0"/>
        </w:rPr>
        <w:t xml:space="preserve"> (tai skaitā elastības finansējums 392 838 </w:t>
      </w:r>
      <w:r w:rsidR="00000000" w:rsidRPr="00000000" w:rsidDel="00000000">
        <w:rPr>
          <w:i w:val="1"/>
          <w:rtl w:val="0"/>
        </w:rPr>
        <w:t xml:space="preserve">euro</w:t>
      </w:r>
      <w:r w:rsidR="00000000" w:rsidRPr="00000000" w:rsidDel="00000000">
        <w:rPr>
          <w:rtl w:val="0"/>
        </w:rPr>
        <w:t xml:space="preserve">), tai skaitā Taisnīgas pārkārtošanās fonda finansējums 5 083 937 </w:t>
      </w:r>
      <w:r w:rsidR="00000000" w:rsidRPr="00000000" w:rsidDel="00000000">
        <w:rPr>
          <w:i w:val="1"/>
          <w:rtl w:val="0"/>
        </w:rPr>
        <w:t xml:space="preserve">euro</w:t>
      </w:r>
      <w:r w:rsidR="00000000" w:rsidRPr="00000000" w:rsidDel="00000000">
        <w:rPr>
          <w:rtl w:val="0"/>
        </w:rPr>
        <w:t xml:space="preserve"> (tai skaitā elastības finansējums 333 912 </w:t>
      </w:r>
      <w:r w:rsidR="00000000" w:rsidRPr="00000000" w:rsidDel="00000000">
        <w:rPr>
          <w:i w:val="1"/>
          <w:rtl w:val="0"/>
        </w:rPr>
        <w:t xml:space="preserve">euro</w:t>
      </w:r>
      <w:r w:rsidR="00000000" w:rsidRPr="00000000" w:rsidDel="00000000">
        <w:rPr>
          <w:rtl w:val="0"/>
        </w:rPr>
        <w:t xml:space="preserve">) un valsts budžeta līdzfinansējums 897 166 </w:t>
      </w:r>
      <w:r w:rsidR="00000000" w:rsidRPr="00000000" w:rsidDel="00000000">
        <w:rPr>
          <w:i w:val="1"/>
          <w:rtl w:val="0"/>
        </w:rPr>
        <w:t xml:space="preserve">euro</w:t>
      </w:r>
      <w:r w:rsidR="00000000" w:rsidRPr="00000000" w:rsidDel="00000000">
        <w:rPr>
          <w:rtl w:val="0"/>
        </w:rPr>
        <w:t xml:space="preserve"> (tai skaitā elastības finansējums 58 926 </w:t>
      </w:r>
      <w:r w:rsidR="00000000" w:rsidRPr="00000000" w:rsidDel="00000000">
        <w:rPr>
          <w:i w:val="1"/>
          <w:rtl w:val="0"/>
        </w:rPr>
        <w:t xml:space="preserve">euro</w:t>
      </w:r>
      <w:r w:rsidR="00000000" w:rsidRPr="00000000" w:rsidDel="00000000">
        <w:rPr>
          <w:rtl w:val="0"/>
        </w:rPr>
        <w:t xml:space="preserve">). Pasākumam pieejamais kopējais finansējums ir 5 588 265 </w:t>
      </w:r>
      <w:r w:rsidR="00000000" w:rsidRPr="00000000" w:rsidDel="00000000">
        <w:rPr>
          <w:i w:val="1"/>
          <w:rtl w:val="0"/>
        </w:rPr>
        <w:t xml:space="preserve">euro</w:t>
      </w:r>
      <w:r w:rsidR="00000000" w:rsidRPr="00000000" w:rsidDel="00000000">
        <w:rPr>
          <w:rtl w:val="0"/>
        </w:rPr>
        <w:t xml:space="preserve">, tai skaitā Taisnīgas pārkārtošanās fonda finansējums 4 750 025 </w:t>
      </w:r>
      <w:r w:rsidR="00000000" w:rsidRPr="00000000" w:rsidDel="00000000">
        <w:rPr>
          <w:i w:val="1"/>
          <w:rtl w:val="0"/>
        </w:rPr>
        <w:t xml:space="preserve">euro</w:t>
      </w:r>
      <w:r w:rsidR="00000000" w:rsidRPr="00000000" w:rsidDel="00000000">
        <w:rPr>
          <w:rtl w:val="0"/>
        </w:rPr>
        <w:t xml:space="preserve"> un valsts budžeta līdzfinansējums 838 240 </w:t>
      </w:r>
      <w:r w:rsidR="00000000" w:rsidRPr="00000000" w:rsidDel="00000000">
        <w:rPr>
          <w:i w:val="1"/>
          <w:rtl w:val="0"/>
        </w:rPr>
        <w:t xml:space="preserve">euro</w:t>
      </w:r>
      <w:r w:rsidR="00000000" w:rsidRPr="00000000" w:rsidDel="00000000">
        <w:rPr>
          <w:rtl w:val="0"/>
        </w:rPr>
        <w:t xml:space="preserve">. Maksimālais Taisnīgas pārkārtošanās fonda finansējuma apmērs nepārsniedz 85 procentus no projekta kopējā attiecināmā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iestāde pēc Eiropas Komisijas lēmuma par vidusposma pārskatu var ierosināt no 2026. gada 1. janvāra palielināt pasākumam pieejamo kopējo finansējumu līdz plānotajam kopējam finansējuma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Pētniecības projekta pieteikumā izmaksas infrastruktūrai plāno ne vairāk kā 25 procentu apmērā un izmaksas projektā nodarbinātajam īstenošanas personālam (zinātniskajam personālam) plāno ne mazāk kā 20 procentu apmērā no pasākuma kopējā finansējuma, savukārt konsorcija projekta vadības personālam 7 procentu apmērā. Netiešās attiecināmās izmaksas plāno kā vienu izmaksu pozīciju, piemērojot netiešo izmaksu vienoto likmi 15 procentu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Pārējais finansējums paredzēts, lai nodrošinātu pētniecības projektu pieteikumu zinātnisko kvalitāti un izcilību.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w:t>
      </w:r>
      <w:r w:rsidR="00000000" w:rsidRPr="00000000" w:rsidDel="00000000">
        <w:rPr>
          <w:b w:val="1"/>
          <w:rtl w:val="0"/>
        </w:rPr>
        <w:t xml:space="preserve">atbalstāmās darbības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pētniecība, kas ietver vienu vai vairākas šādas pētniecības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fundamentālie pētījumi;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lietišķie pētījumi, kas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rūpnieciskos pētījumus. Viena pētniecības pieteikuma ietvaros var apvienot rūpnieciskos pētījumus ar fundamentāliem pētījumiem;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eksperimentālo izstrādi, ja tiek īstenoti rūpnieciskie pētījumi;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pētījumi ar ilgtspējīgas rīcībpolitikas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tehnoloģiju tiesību (nemateriālo aktīvu) iegūšana, apstiprināšana un aizstāvēšana (turpmāk – tehnoloģiju tiesību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ietvaros radīto zināšanu izplatīšana mācību, publikāciju vai zinātības un tehnoloģiju pārneses veidā, tai skaitā sabiedrības iesaiste projekta norisēs un informēšana par projekta rezultātiem, kas nav aizsargāti ar intelektuālā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pasākumi mērķa grupas un sabiedrības iesaistīšanai un informēšanai par projekta mērķiem, norisi un rezultātiem (tai skaitā mācību, darba grupu, semināru, konferenču, pieredzes apmaiņas, ideju konkursu un citu pasākumu īstenošana);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sadarbība ar Eiropas pētniecības infrastruktūru stratēģijas foruma (ESFRI) Eiropas pētniecības infrastruktūru konsorcijiem, tai skaitā ar eLTER (</w:t>
      </w:r>
      <w:r w:rsidR="00000000" w:rsidRPr="00000000" w:rsidDel="00000000">
        <w:rPr>
          <w:i w:val="1"/>
          <w:rtl w:val="0"/>
        </w:rPr>
        <w:t xml:space="preserve">Integrated European Long-Term Ecosystem, critical zone and socio-ecological system Research Infrastructure</w:t>
      </w:r>
      <w:r w:rsidR="00000000" w:rsidRPr="00000000" w:rsidDel="00000000">
        <w:rPr>
          <w:rtl w:val="0"/>
        </w:rPr>
        <w:t xml:space="preserve">) – Eiropas integrētā ilgtermiņa ekosistēmu, kritisko apgabalu un socio-ekoloģisko sistēmu pētniecības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laboratoriju iekārtu, materiālu, reaģentu iegāde un infrastruktūras uzturēšana MK noteikumu projekta 13. punktā minēto uzdevumu realizācijai, nepārsniedzot 25% no projekta kopējām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konsultāciju un pakalpojumu nodrošināšana kūdras nozares komersantiem projekta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atbalsts specializācijas izveidei kūdras nozares vajadzību nodrošināšanai esošajās doktora studiju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ilgtermiņa monitoringa pasākumi MK noteikumu projekta 13. punktā minēto uzdevumu realizācijai;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datu bāzu un platformu izstrāde ar MK noteikumu projekta 13. punktā minēto uzdevumu saistīto pētniecības datu glabāšanai, pārvaldībai un koplietošanai;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MK noteikumu projekta 10.2.1. apakšpunktā minēto zinātnisko rakstu izstrāde un publicēšana;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vadības un īstenošanas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komunikācijas un vizuālās identitātes prasību nodrošināšanas pasākumi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Pasākumā tiek atbalstīta </w:t>
      </w:r>
      <w:r w:rsidR="00000000" w:rsidRPr="00000000" w:rsidDel="00000000">
        <w:rPr>
          <w:b w:val="1"/>
          <w:rtl w:val="0"/>
        </w:rPr>
        <w:t xml:space="preserve">ar saimniecisko darbību nesaistīta</w:t>
      </w:r>
      <w:r w:rsidR="00000000" w:rsidRPr="00000000" w:rsidDel="00000000">
        <w:rPr>
          <w:rtl w:val="0"/>
        </w:rPr>
        <w:t xml:space="preserve"> projekta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Konsorcija projektā plāno šādus </w:t>
      </w:r>
      <w:r w:rsidR="00000000" w:rsidRPr="00000000" w:rsidDel="00000000">
        <w:rPr>
          <w:b w:val="1"/>
          <w:rtl w:val="0"/>
        </w:rPr>
        <w:t xml:space="preserve">izmaksu veidus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vadības personāla atlīdzības izmaksas, nepārsniedzot 7 procentus no projekta kopējām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citas izmaksas, kas ir tieši saistītas ar projekta īstenošanu un nepieciešamas rezultātu sasniegšanai un kas nav tieši saistītas ar projekta rezultātu sasniegšanu, bet atbalsta un nodrošina atbilstošus apstākļus atbalstāmo darbību īstenošanai un rezultātu sasniegšanai,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personāla iekšzemes komandējumu un darba braucienu izmaksas atbilstoši normatīvajiem aktiem par kārtību, kādā atlīdzināmi ar komandējumu saistītie izdevumi, ja tās ir pamatotas un saistītas ar projekta īstenošanu. Iekšzemes komandējumu izmaksas tiek segtas atbilstoši Finanšu ministrijas metodikai "Vienas vienības izmaksu standarta likmes aprēķina un piemērošanas metodika iekšzemes komandējumu izmaksām darbības programmas "Izaugsme un nodarbinātība"  un Eiropas Savienības kohēzijas politikas programmas 2021.–2027. gadam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jaunradītu projekta vadības un īstenošanas personāla darba vietu aprīkojuma, biroja mēbeļu, tehnikas, datorprogrammu un licenču iegādes vai īres izmaksas ne vairāk kā 3000 </w:t>
      </w:r>
      <w:r w:rsidR="00000000" w:rsidRPr="00000000" w:rsidDel="00000000">
        <w:rPr>
          <w:i w:val="1"/>
          <w:rtl w:val="0"/>
        </w:rPr>
        <w:t xml:space="preserve">euro</w:t>
      </w:r>
      <w:r w:rsidR="00000000" w:rsidRPr="00000000" w:rsidDel="00000000">
        <w:rPr>
          <w:rtl w:val="0"/>
        </w:rPr>
        <w:t xml:space="preserve"> vienai darba vietai visā projekta īstenošanas laikā, ja projekta vadības un īstenošanas personāls ir nodarbināts projektā uz darba līguma pamata. Ja projekta vadības un īstenošanas personāls ir nodarbināts nepilnu darba laiku vai daļlaiku, jaunradītas darba vietas aprīkojuma iegādes vai īres izmaksas ir attiecināmas proporcionāli darba slodzes procentuālajam sadalījumam, bet daļlaika noslodzes gadījumā – ņemot vērā darbinieka iesaistes periodu projektā pret kopējo projekta īstenošanas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semināru, konferenču un citu informatīvo pasākumu, kā arī projekta noslēguma konferences organizēšanu un īstenošanu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transporta pakalpojumu izmaksas (maksa par degvielu, transportlīdzekļu noma, transporta pakalpojumu pirkšana, maksa par sabiedriskā transporta izmantošanu), kas ir daļa no iekšzemes komandējumu vai darba braucienu izmaksām. Degvielas izmaksas vieglajam transportlīdzeklim un reģionālā sabiedriskā un vietējā sabiedriskā transporta izmaksas tiek segtas atbilstoši Finanšu ministrijas metodikai "Vienas vienības izmaksu standarta likmes aprēķina un piemērošanas metodika 1 km izmaksām darbības programmas "Izaugsme un nodarbinātība" un Eiropas Savienības kohēzijas politikas programmas 2021.–2027. gadam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horizontālā principa “Vienlīdzība, iekļaušana, nediskriminācija un pamattiesību ievērošana” darbību īstenošanai, tai skaitā zīmju valodas tulka, ergoterapeita, reāllaika transkripcijas, subtitru nodrošināšanai pasākumos iesaistītajām mērķa grupas personām;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projekta darbībām tieši saistīto komunikācijas un vizuālās identitātes prasību nodrošināšanas pasākumu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finansējums pētniecības projekta pieteikumu (apakšprojektu)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saimniecisku darbību nesaistītam </w:t>
      </w:r>
      <w:r w:rsidR="00000000" w:rsidRPr="00000000" w:rsidDel="00000000">
        <w:rPr>
          <w:b w:val="1"/>
          <w:rtl w:val="0"/>
        </w:rPr>
        <w:t xml:space="preserve">pētniecības projekta pieteikumam</w:t>
      </w:r>
      <w:r w:rsidR="00000000" w:rsidRPr="00000000" w:rsidDel="00000000">
        <w:rPr>
          <w:rtl w:val="0"/>
        </w:rPr>
        <w:t xml:space="preserve"> (apakšprojektam) ir </w:t>
      </w:r>
      <w:r w:rsidR="00000000" w:rsidRPr="00000000" w:rsidDel="00000000">
        <w:rPr>
          <w:b w:val="1"/>
          <w:rtl w:val="0"/>
        </w:rPr>
        <w:t xml:space="preserve">attiecināmas</w:t>
      </w:r>
      <w:r w:rsidR="00000000" w:rsidRPr="00000000" w:rsidDel="00000000">
        <w:rPr>
          <w:rtl w:val="0"/>
        </w:rPr>
        <w:t xml:space="preserve"> šādas ar pētniecību tieši saistītas </w:t>
      </w:r>
      <w:r w:rsidR="00000000" w:rsidRPr="00000000" w:rsidDel="00000000">
        <w:rPr>
          <w:b w:val="1"/>
          <w:rtl w:val="0"/>
        </w:rPr>
        <w:t xml:space="preserve">izmaksas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atlīdzība zinātniskajiem darbiniekiem, ciktāl tie ir nodarbināti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pētniecībā iesaistītā zinātniskā darbinieka ārvalstu un iekšzemes komandējumu un darba braucienu izmaksas, kas saistītas ar projekta ietvaros īstenojamo pētniecību, tai skaitā ar sasniegto rezultātu publiskošanu saskaņā ar normatīvajiem aktiem par kārtību, kādā atlīdzināmi ar komandējumiem saistītie izdevumi, ja zinātniskais darbinieks ir nodarbināts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pētniecības infrastruktūras izmaksas, ciktāl to izmanto pētniecības projekta ietvaros,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materiālie aktīvi: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jaunu tehnoloģisko iekārtu iegādes vai izveidošanas izmaksas (tai skaitā uzstādīšanas, montāžas un citas kapitalizējamās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amortizācijas izmaksas (attiecināms uz projekta ietvaros iegādātajiem un rīcībā esošiem pamatlīdzekļiem, kurus izmanto pētniecībai);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nomas maksa, ja noma veikta uz tāda līguma pamata, ar kuru iznomātājs par vienu vai vairākiem nomas maksājumiem nodod nomniekam tiesības lietot aktīvu noteiktu laikposmu, nepārsniedzot projekta īstenošanas termiņu un nenododot visus aktīva īpašuma tiesībām raksturīgos riskus un atlīdzību. Pasākuma ietvaros nav pieļaujams nomas līgums starp projekta sadarbības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 projekta īstenošanai nepieciešamā inventāra, instrumentu un materiālu (tai skaitā fizikālie, bioloģiskie, ķīmiskie un citi materiāli, izmēģinājuma dzīvnieki un augi, reaktīvi, ķimikālijas, laboratorijas trauki, medikamenti, aukstuma aģenti, siltumnesēji, elektronikas komponentes un moduļi, nesējgāzes, eļļas, enerģētiskie materiāli un elektroenerģija, ciktāl to izmanto pētniecībai) iegādes un piegādes izmaksas saskaņā ar iepirkuma procedūru reglamentējošiem normatīvajiem aktiem. Preču un pakalpojumu iegādi veic atklātā, pārredzamā, nediskriminējošā un konkurenci nodrošinošā procedūrā saskaņā ar normatīvajiem aktiem publisko iepirkumu jomā, izvērtējot iespējas iegādēm piemērot sociāli atbildīgu publisko iepirkumu un/vai  inovatīvu publisko iepirkumu;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nemateriālie aktīvi – no ārējiem avotiem iegādātu tehnisko zināšanu, patentu, tehnoloģiju tiesību vai citu intelektuālā īpašuma tiesību licenču iegādes izmaksas, ja darījums ir veikts konkurences apstākļos un nav bijis slepenu norunu;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ārpakalpojumu izmaksas, ja ārpakalpojumu iepirkumu plāno un veic atbilstoši iepirkuma procedūru reglamentējošiem normatīvajiem aktiem, īstenojot atklātu, pārredzamu, nediskriminējošu un konkurenci nodrošinošu procedūru, izvērtējot iespējas iegādēm piemērot sociāli atbildīgu publisko iepirkumu un/vai inovatīvu publisko iepirkumu: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pētniecības ārpakalpojuma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pētniecības nodrošināšanas izmaksas (inspicēšanas, testēšanas, sertifikācijas un citas izmaksas, lai nodrošinātu tādus pētījumu datus, kas salīdzināmi ar citās valstīs veiktajiem pētījumiem);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MK noteikumu projekta 10.2.1. apakšpunktā minēto zinātnisko rakstu publicēšanas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tulkošanas izmaksas, kas ir pamatotas un saistītas 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ar mācību, darba grupu, semināru, konferenču, pieredzes apmaiņas, ideju konkursu un citu pasākumu mērķa grupas un sabiedrības iesaistīšanai un informēšanai organizēšanu un īstenošanu saistītās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informatīvo un izdales materiālu  nodrošināšanas izmaksas.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projektu iesniegumu atlasē </w:t>
      </w:r>
      <w:r w:rsidR="00000000" w:rsidRPr="00000000" w:rsidDel="00000000">
        <w:rPr>
          <w:b w:val="1"/>
          <w:rtl w:val="0"/>
        </w:rPr>
        <w:t xml:space="preserve">starptautisko zinātnisko ekspertīzi</w:t>
      </w:r>
      <w:r w:rsidR="00000000" w:rsidRPr="00000000" w:rsidDel="00000000">
        <w:rPr>
          <w:rtl w:val="0"/>
        </w:rPr>
        <w:t xml:space="preserve"> nodrošinās sadarbībā ar Latvijas Zinātnes padomi. Katra projekta iesnieguma izvērtēšanā, vidusposma un gala rezultātu zinātniskās kvalitātes izvērtēšanā Latvijas Zinātnes padome iesaista ne mazāk kā divus ārvalstu ekspertus atbilstoši MK noteikumu projekta 45. un 46.punktā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pamatotu projekta sociālekonomisko ietekmi, projekta iesniegumam var pievienot Latvijā reģistrētas biedrības atzinumu par pētījumu nozīmību kūdras un saistīto tautsaimniecības nozaru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īsteno no vienošanās par projekta īstenošanu noslēgšanas datuma, bet ne ilgāk kā līdz 2029. gada 30. septembrim.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Sinerģija, papildinātība un demarkācja ar citiem pasākumiem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pasākumam plānota sinerģija un demarkācija ar 1.1.1. specifiskā atbalsta mērķa “Pētniecības un inovāciju kapacitātes stiprināšana un progresīvu tehnoloģiju ieviešana kopējā P&amp;A sistēmā” 1.1.1.3. pasākumā “Praktiskas ievirzes pētījumi” plānotajām pētniecības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projektu būtiska ir pētniecības pieteikumu sinerģija ar līdzīgām aktivitātēm, piemēram, bioloģiskās daudzveidības pētījumiem.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pasākuma investīcijām būs netieša ietekme uz horizontālo principu „Vienlīdzība, iekļaušana, nediskriminācija un pamattiesību ievērošana” (skat. skaidrojumu pie anotācijas 8. punkta “Horizontālā ietekme”).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uz horizontālajiem principiem „Klimatdrošināšana”, “Energoefektivitāte pirmajā vietā” un “Nenodarīt būtisku kaitējumu” 6.1.1.2. pasākumam nav ietekmes.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pasākuma investīcijām piemērots 29. intervences kods "Pētniecības un inovācijas procesi, tehnoloģiju nodošana un sadarbība starp uzņēmumiem, pētniecības centriem un universitātēm, koncentrējoties uz ekonomiku ar zemu oglekļa emisiju, noturību un pielāgošanos klimata pārmaiņām" (</w:t>
      </w:r>
      <w:r w:rsidR="00000000" w:rsidRPr="00000000" w:rsidDel="00000000">
        <w:rPr>
          <w:i w:val="1"/>
          <w:rtl w:val="0"/>
        </w:rPr>
        <w:t xml:space="preserve">Research and innovation processes, technology transfer and cooperation between enterprises, research centres and universitie focusing on the low carbon economy, resilience and adaptation to climate change) </w:t>
      </w:r>
      <w:r w:rsidR="00000000" w:rsidRPr="00000000" w:rsidDel="00000000">
        <w:rPr>
          <w:rtl w:val="0"/>
        </w:rPr>
        <w:t xml:space="preserve">atbilstoši Eiropas Savienības kohēzijas politikas programmai 2021.–2027. gadam.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zinātniskais personāls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Pasākumā atbalsts ir paredzēts ar saimniecisku darbību nesaistītiem pētījumiem, kurus veiks finansējuma saņēmēja un sadarbības partneru zinātniskais personāls, kā arī pastāv iespēja pētījumu ietvaros iesaistīt studējošos, sevišķi doktorantus un jaunos zinātniekus, lai nodrošinātu kūdras nozares vajadzības pēc augstākas kvalifikācijas speciālistiem.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Netiešā veidā no pētījumiem ieguvēji būs zinātniskās institūcijas, uzņēmēji, TPTP definēto nozaru reģionu institūcijas, kas pētījumu ietvaros radušos rezultātus varēs izmantot tālāko pētījumu attīstībai.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institūcijas, augstākās izglītības iestādes, Kurzemes, Latgales, Vidzemes un Zemgales statistiskā reģiona plānošanas reģioni, komersanti, IZM, CFLA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noteiktajiem projektu iesniedzējiem un sadarbības partneriem (augstāk minētajām juridiskajām personām), īstenojot projektu, ir jāņem vērā noteikumu projektā minētie nosacījumi par 6.1.1.2. pasākuma īstenošanu, tai skaitā par pieejamo finansējuma apmēru, sasniedzamajiem rādītājiem, projektā atbalstāmajām darbībām un izmaksām, atbalsta un citiem ieviešanas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6.1.1.2. pasākumā pildīs atbildīgās iestādes funkcijas. Zinātniskās institūcijas un augstākās izglītības iestādes sadarbībā ar citām institūcijām īstenos  projektu. CFLA pildīs sadarbības iestādes funkcijas.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 darbības un risinājumi mērķēti Kurzemes, Latgales, Vidzemes un Zemgales statistiskajiem reģioniem saskaņā ar 2022. gada 25. novembrī spēkā esošo Statistiski teritoriālo vienību nomenklatūras 3. līmeņa (NUTS 3. līmenis) klasifikāciju. Pasākumam ir pozitīva ietekme uz zinātnisko institūciju un reģionu kūdras nozares un saistīto nozaru iestādēm, uzņēmumiem, kurus skar ekonomiskā transformācija, zinātniskajām institūcijām, jo tiek nodrošināta iespēja saņemt TPF atbalstu pētniecības īstenošanai, lai sekmētu jaunu produktu un tehnoloģiju izstrādi, kas tiešā veidā veicina Latvijas tautsaimniecības attīstību, starptautisko konkurētspēju, sekmējot pētniecības intelektuālā potenciāla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 darbības un risinājumi mērķēti Kurzemes, Latgales, Vidzemes un Zemgales statistiskajiem reģioniem saskaņā ar 2022. gada 25. novembrī spēkā esošo Statistiski teritoriālo vienību nomenklatūras 3. līmeņa (NUTS 3. līmenis) klasifikāciju. Pasākumam ir pozitīva ietekme uz zinātnisko institūciju un reģionu kūdras nozares un saistīto nozaru iestādēm, uzņēmumiem, kurus skar ekonomiskā transformācija, zinātniskajām institūcijām, jo tiek nodrošināta iespēja saņemt TPF atbalstu pētniecības īstenošanai, lai sekmētu jaunu produktu un tehnoloģiju izstrādi, kas tiešā veidā veicina Latvijas tautsaimniecības attīstību, starptautisko konkurētspēju, sekmējot pētniecības intelektuālā potenciāla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 darbības un risinājumi mērķēti Kurzemes, Latgales, Vidzemes un Zemgales statistiskajiem reģioniem saskaņā ar 2022. gada 25. novembrī spēkā esošo Statistiski teritoriālo vienību nomenklatūras 3. līmeņa (NUTS 3. līmenis) klasifikāciju. Pasākumam ir pozitīva ietekme uz zinātnisko institūciju un reģionu kūdras nozares un saistīto nozaru iestādēm, uzņēmumiem, kurus skar ekonomiskā transformācija, zinātniskajām institūcijām, jo tiek nodrošināta iespēja saņemt TPF atbalstu pētniecības īstenošanai, lai sekmētu sadarbības attīstību, pētniecības tēmu definēšanu atbilstoši nozares vajadzībām, jaunu produktu un tehnoloģiju izstrādi, kas tiešā veidā veicina Latvijas tautsaimniecības attīstību, starptautisko konkurētspēju, sekmējot pētniecības intelektuālā potenciāla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508 393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1 016 787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1 016 787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1 016 787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508 393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1 016 787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1 016 787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1 016 787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598 110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1 196 221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1 196 221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1 196 221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598 110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1 196 221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1 196 221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1 196 221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-89 717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-179 434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-179 434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-179 434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-89 717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-179 434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-179 434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-179 434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-89 717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-179 434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-179 434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-179 434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6.1.1.2. pasākumam plānotais kopējais attiecināmais finansējums ir 5 981 103 </w:t>
            </w:r>
            <w:r w:rsidR="00000000" w:rsidRPr="00000000" w:rsidDel="00000000">
              <w:rPr>
                <w:sz w:val="24"/>
                <w:i w:val="1"/>
                <w:rtl w:val="0"/>
              </w:rPr>
              <w:t xml:space="preserve">euro</w:t>
            </w:r>
            <w:r w:rsidR="00000000" w:rsidRPr="00000000" w:rsidDel="00000000">
              <w:rPr>
                <w:sz w:val="24"/>
                <w:rtl w:val="0"/>
              </w:rPr>
              <w:t xml:space="preserve"> (tai skaitā elastības finansējums 392 838 </w:t>
            </w:r>
            <w:r w:rsidR="00000000" w:rsidRPr="00000000" w:rsidDel="00000000">
              <w:rPr>
                <w:sz w:val="24"/>
                <w:i w:val="1"/>
                <w:rtl w:val="0"/>
              </w:rPr>
              <w:t xml:space="preserve">euro</w:t>
            </w:r>
            <w:r w:rsidR="00000000" w:rsidRPr="00000000" w:rsidDel="00000000">
              <w:rPr>
                <w:sz w:val="24"/>
                <w:rtl w:val="0"/>
              </w:rPr>
              <w:t xml:space="preserve">), tai skaitā Taisnīgas pārkārtošanās fonda finansējums 5 083 937 </w:t>
            </w:r>
            <w:r w:rsidR="00000000" w:rsidRPr="00000000" w:rsidDel="00000000">
              <w:rPr>
                <w:sz w:val="24"/>
                <w:i w:val="1"/>
                <w:rtl w:val="0"/>
              </w:rPr>
              <w:t xml:space="preserve">euro</w:t>
            </w:r>
            <w:r w:rsidR="00000000" w:rsidRPr="00000000" w:rsidDel="00000000">
              <w:rPr>
                <w:sz w:val="24"/>
                <w:rtl w:val="0"/>
              </w:rPr>
              <w:t xml:space="preserve"> (tai skaitā elastības finansējums 333 912 </w:t>
            </w:r>
            <w:r w:rsidR="00000000" w:rsidRPr="00000000" w:rsidDel="00000000">
              <w:rPr>
                <w:sz w:val="24"/>
                <w:i w:val="1"/>
                <w:rtl w:val="0"/>
              </w:rPr>
              <w:t xml:space="preserve">euro</w:t>
            </w:r>
            <w:r w:rsidR="00000000" w:rsidRPr="00000000" w:rsidDel="00000000">
              <w:rPr>
                <w:sz w:val="24"/>
                <w:rtl w:val="0"/>
              </w:rPr>
              <w:t xml:space="preserve">) un valsts budžeta līdzfinansējums 897 166 </w:t>
            </w:r>
            <w:r w:rsidR="00000000" w:rsidRPr="00000000" w:rsidDel="00000000">
              <w:rPr>
                <w:sz w:val="24"/>
                <w:i w:val="1"/>
                <w:rtl w:val="0"/>
              </w:rPr>
              <w:t xml:space="preserve">euro</w:t>
            </w:r>
            <w:r w:rsidR="00000000" w:rsidRPr="00000000" w:rsidDel="00000000">
              <w:rPr>
                <w:sz w:val="24"/>
                <w:rtl w:val="0"/>
              </w:rPr>
              <w:t xml:space="preserve"> (tai skaitā elastības finansējums 58 926 </w:t>
            </w:r>
            <w:r w:rsidR="00000000" w:rsidRPr="00000000" w:rsidDel="00000000">
              <w:rPr>
                <w:sz w:val="24"/>
                <w:i w:val="1"/>
                <w:rtl w:val="0"/>
              </w:rPr>
              <w:t xml:space="preserve">euro</w:t>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Pasākumam pieejamais kopējais finansējums ir 5 588 265 </w:t>
            </w:r>
            <w:r w:rsidR="00000000" w:rsidRPr="00000000" w:rsidDel="00000000">
              <w:rPr>
                <w:sz w:val="24"/>
                <w:i w:val="1"/>
                <w:rtl w:val="0"/>
              </w:rPr>
              <w:t xml:space="preserve">euro</w:t>
            </w:r>
            <w:r w:rsidR="00000000" w:rsidRPr="00000000" w:rsidDel="00000000">
              <w:rPr>
                <w:sz w:val="24"/>
                <w:rtl w:val="0"/>
              </w:rPr>
              <w:t xml:space="preserve">, tai skaitā Taisnīgas pārkārtošanās fonda finansējums 4 750 025 </w:t>
            </w:r>
            <w:r w:rsidR="00000000" w:rsidRPr="00000000" w:rsidDel="00000000">
              <w:rPr>
                <w:sz w:val="24"/>
                <w:i w:val="1"/>
                <w:rtl w:val="0"/>
              </w:rPr>
              <w:t xml:space="preserve">euro</w:t>
            </w:r>
            <w:r w:rsidR="00000000" w:rsidRPr="00000000" w:rsidDel="00000000">
              <w:rPr>
                <w:sz w:val="24"/>
                <w:rtl w:val="0"/>
              </w:rPr>
              <w:t xml:space="preserve"> un valsts budžeta līdzfinansējums 838 240 </w:t>
            </w:r>
            <w:r w:rsidR="00000000" w:rsidRPr="00000000" w:rsidDel="00000000">
              <w:rPr>
                <w:sz w:val="24"/>
                <w:i w:val="1"/>
                <w:rtl w:val="0"/>
              </w:rPr>
              <w:t xml:space="preserve">euro</w:t>
            </w:r>
            <w:r w:rsidR="00000000" w:rsidRPr="00000000" w:rsidDel="00000000">
              <w:rPr>
                <w:sz w:val="24"/>
                <w:rtl w:val="0"/>
              </w:rPr>
              <w:t xml:space="preserve">. Maksimālais Taisnīgas pārkārtošanās fonda finansējuma apmērs nepārsniedz 85 procentus no projekta kopējā attiecināmā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ieņēmumi ir finansējuma Taisnīgas pārkārtošanās fonda (TPF) daļa 85 procentu apmērā no projekta attiecināmām izmaksām. Budžeta izdevumi ir kopējie projekta ieviešanai nepieciešamie publiskā finansējuma (TPF un VB) līdzekļi 100 procentu apmērā no projekta attiecināmām izmaksām.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Projektu plānots indikatīvi ieviest no 2024. gada IV ceturkšņa līdz 2029. gada 30. septembrim (projekta īstenošanas laiks indikatīvi 5 gadi).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Indikatīvi tiek plānots šāds finansējuma apjoma izlietojums saskaņā ar plānoto laika grafiku, taču tas var mainīties atbilstoši faktiskajai situācijai: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gadā tiek plānots finansējums gadā 598 110 </w:t>
            </w:r>
            <w:r w:rsidR="00000000" w:rsidRPr="00000000" w:rsidDel="00000000">
              <w:rPr>
                <w:sz w:val="24"/>
                <w:i w:val="1"/>
                <w:rtl w:val="0"/>
              </w:rPr>
              <w:t xml:space="preserve">euro</w:t>
            </w:r>
            <w:r w:rsidR="00000000" w:rsidRPr="00000000" w:rsidDel="00000000">
              <w:rPr>
                <w:sz w:val="24"/>
                <w:rtl w:val="0"/>
              </w:rPr>
              <w:t xml:space="preserve"> (t.sk. TPF 508 393 </w:t>
            </w:r>
            <w:r w:rsidR="00000000" w:rsidRPr="00000000" w:rsidDel="00000000">
              <w:rPr>
                <w:sz w:val="24"/>
                <w:i w:val="1"/>
                <w:rtl w:val="0"/>
              </w:rPr>
              <w:t xml:space="preserve">euro</w:t>
            </w:r>
            <w:r w:rsidR="00000000" w:rsidRPr="00000000" w:rsidDel="00000000">
              <w:rPr>
                <w:sz w:val="24"/>
                <w:rtl w:val="0"/>
              </w:rPr>
              <w:t xml:space="preserve">, VB 89 717 </w:t>
            </w:r>
            <w:r w:rsidR="00000000" w:rsidRPr="00000000" w:rsidDel="00000000">
              <w:rPr>
                <w:sz w:val="24"/>
                <w:i w:val="1"/>
                <w:rtl w:val="0"/>
              </w:rPr>
              <w:t xml:space="preserve">euro</w:t>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gadā tiek plānots finansējums gadā 1 196 221 </w:t>
            </w:r>
            <w:r w:rsidR="00000000" w:rsidRPr="00000000" w:rsidDel="00000000">
              <w:rPr>
                <w:sz w:val="24"/>
                <w:i w:val="1"/>
                <w:rtl w:val="0"/>
              </w:rPr>
              <w:t xml:space="preserve">euro</w:t>
            </w:r>
            <w:r w:rsidR="00000000" w:rsidRPr="00000000" w:rsidDel="00000000">
              <w:rPr>
                <w:sz w:val="24"/>
                <w:rtl w:val="0"/>
              </w:rPr>
              <w:t xml:space="preserve"> (t.sk. TPF 1 016 787 </w:t>
            </w:r>
            <w:r w:rsidR="00000000" w:rsidRPr="00000000" w:rsidDel="00000000">
              <w:rPr>
                <w:sz w:val="24"/>
                <w:i w:val="1"/>
                <w:rtl w:val="0"/>
              </w:rPr>
              <w:t xml:space="preserve">euro</w:t>
            </w:r>
            <w:r w:rsidR="00000000" w:rsidRPr="00000000" w:rsidDel="00000000">
              <w:rPr>
                <w:sz w:val="24"/>
                <w:rtl w:val="0"/>
              </w:rPr>
              <w:t xml:space="preserve">, VB 179 434 </w:t>
            </w:r>
            <w:r w:rsidR="00000000" w:rsidRPr="00000000" w:rsidDel="00000000">
              <w:rPr>
                <w:sz w:val="24"/>
                <w:i w:val="1"/>
                <w:rtl w:val="0"/>
              </w:rPr>
              <w:t xml:space="preserve">euro</w:t>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gadā tiek plānots finansējums gadā 1 196 221 </w:t>
            </w:r>
            <w:r w:rsidR="00000000" w:rsidRPr="00000000" w:rsidDel="00000000">
              <w:rPr>
                <w:sz w:val="24"/>
                <w:i w:val="1"/>
                <w:rtl w:val="0"/>
              </w:rPr>
              <w:t xml:space="preserve">euro</w:t>
            </w:r>
            <w:r w:rsidR="00000000" w:rsidRPr="00000000" w:rsidDel="00000000">
              <w:rPr>
                <w:sz w:val="24"/>
                <w:rtl w:val="0"/>
              </w:rPr>
              <w:t xml:space="preserve"> (t.sk. TPF 1 016 787 </w:t>
            </w:r>
            <w:r w:rsidR="00000000" w:rsidRPr="00000000" w:rsidDel="00000000">
              <w:rPr>
                <w:sz w:val="24"/>
                <w:i w:val="1"/>
                <w:rtl w:val="0"/>
              </w:rPr>
              <w:t xml:space="preserve">euro</w:t>
            </w:r>
            <w:r w:rsidR="00000000" w:rsidRPr="00000000" w:rsidDel="00000000">
              <w:rPr>
                <w:sz w:val="24"/>
                <w:rtl w:val="0"/>
              </w:rPr>
              <w:t xml:space="preserve">, VB 179 434 </w:t>
            </w:r>
            <w:r w:rsidR="00000000" w:rsidRPr="00000000" w:rsidDel="00000000">
              <w:rPr>
                <w:sz w:val="24"/>
                <w:i w:val="1"/>
                <w:rtl w:val="0"/>
              </w:rPr>
              <w:t xml:space="preserve">euro</w:t>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 gadā tiek plānots finansējums  gadā 1 196 221 </w:t>
            </w:r>
            <w:r w:rsidR="00000000" w:rsidRPr="00000000" w:rsidDel="00000000">
              <w:rPr>
                <w:sz w:val="24"/>
                <w:i w:val="1"/>
                <w:rtl w:val="0"/>
              </w:rPr>
              <w:t xml:space="preserve">euro</w:t>
            </w:r>
            <w:r w:rsidR="00000000" w:rsidRPr="00000000" w:rsidDel="00000000">
              <w:rPr>
                <w:sz w:val="24"/>
                <w:rtl w:val="0"/>
              </w:rPr>
              <w:t xml:space="preserve"> (t.sk. TPF 1 016 787</w:t>
            </w:r>
            <w:r w:rsidR="00000000" w:rsidRPr="00000000" w:rsidDel="00000000">
              <w:rPr>
                <w:sz w:val="24"/>
                <w:i w:val="1"/>
                <w:rtl w:val="0"/>
              </w:rPr>
              <w:t xml:space="preserve"> euro</w:t>
            </w:r>
            <w:r w:rsidR="00000000" w:rsidRPr="00000000" w:rsidDel="00000000">
              <w:rPr>
                <w:sz w:val="24"/>
                <w:rtl w:val="0"/>
              </w:rPr>
              <w:t xml:space="preserve">, VB 179 434 </w:t>
            </w:r>
            <w:r w:rsidR="00000000" w:rsidRPr="00000000" w:rsidDel="00000000">
              <w:rPr>
                <w:sz w:val="24"/>
                <w:i w:val="1"/>
                <w:rtl w:val="0"/>
              </w:rPr>
              <w:t xml:space="preserve">euro</w:t>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 gadā tiek plānots finansējums  gadā 1 196 221 </w:t>
            </w:r>
            <w:r w:rsidR="00000000" w:rsidRPr="00000000" w:rsidDel="00000000">
              <w:rPr>
                <w:sz w:val="24"/>
                <w:i w:val="1"/>
                <w:rtl w:val="0"/>
              </w:rPr>
              <w:t xml:space="preserve">euro</w:t>
            </w:r>
            <w:r w:rsidR="00000000" w:rsidRPr="00000000" w:rsidDel="00000000">
              <w:rPr>
                <w:sz w:val="24"/>
                <w:rtl w:val="0"/>
              </w:rPr>
              <w:t xml:space="preserve"> (t.sk. TPF 1 016 787 </w:t>
            </w:r>
            <w:r w:rsidR="00000000" w:rsidRPr="00000000" w:rsidDel="00000000">
              <w:rPr>
                <w:sz w:val="24"/>
                <w:i w:val="1"/>
                <w:rtl w:val="0"/>
              </w:rPr>
              <w:t xml:space="preserve">euro</w:t>
            </w:r>
            <w:r w:rsidR="00000000" w:rsidRPr="00000000" w:rsidDel="00000000">
              <w:rPr>
                <w:sz w:val="24"/>
                <w:rtl w:val="0"/>
              </w:rPr>
              <w:t xml:space="preserve">, VB 179 434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2029. gadā tiek plānots finansējums gadā 598 110 euro (t.sk. TPF 508 393 euro, VB 89 717 euro).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pasākuma īstenošanai tiks piesaistīts normatīvajos aktos noteiktajā kārtībā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Potenciālais finansējuma saņēmējs ir atbildīgs par finansējuma izlietošanu atbilstoši MK noteikumu projektā plānotajam mērķim.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32014R0316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2014. gada 21. marta Regula Nr. 316/2014 par Līguma par Eiropas Savienības darbību 101. panta 3. punkta piemērošanu tehnoloģiju nodošanas nolīgumu kategorijām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32018R1046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Nr. 651/2014 ( 2014. gada 17. jūnijs ), ar ko noteiktas atbalsta kategorijas atzīst par saderīgām ar iekšējo tirgu, piemērojot Līguma 107. un 108. pantu Dokuments attiecas uz EEZ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32013R1303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2013. gada 17. decembra Regulas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2014. gada 21. marta Regula Nr. 316/2014 par Līguma par Eiropas Savienības darbību 101. panta 3. punkta piemērošanu tehnoloģiju nodošanas nolīgumu kategorijām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316/2014 1. panta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316/2014 1.panta "h"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Padomes Regulas Nr. 2018/1046 61.pants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30.6. un 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Padomes Regula Nr. 2018/1046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2021/1060 47. pants un 50.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2021/1060 50.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2021/1060 64. panta 1.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Regula (ES) Nr. 651/2014 ( 2014. gada 17. jūnijs ), ar ko noteiktas atbalsta kategorijas atzīst par saderīgām ar iekšējo tirgu, piemērojot Līguma 107. un 108. pantu Dokuments attiecas uz EEZ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 panta 2. punkta "c" un "d" apakšpunkts un 1. panta 3. punkta "c" un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83.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2.panta 84.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2.panta 85.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86.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90.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2013. gada 17. decembra Regulas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1303/2013 61. panta 7. punkta "b" apakšpunkts un 65.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Zinātniskās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Kūdras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pievienota pēc sabiedrības līdzdalības izsludināšanas.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izpildē iesaistīta Izglītības un zinātnes ministrija kā Eiropas Savienības fondu vadībā iesaistītā atbildīgā iestāde, Centrālā finanšu un līgumu aģentūra kā Eiropas Savienības fondu vadībā iesaistītā sadarbības iestāde, zinātniskās institūcijas kā 6.1.1.2. pasākuma finansējuma saņēmējs un sadarbības partneri.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noteikumu projektā plānotās aktivitātes tiks veicināta tai skaitā NAP2027 prioritātēs “Zināšanas un prasmes personības un valsts izaugsmei” un “Uzņēmumu konkurētspēja un materiālā labklājība” iezīmēto izaicinājumu “Nepietiekams atbalsts inovācijai un vāja sadarbība starp iesaistītajām pusēm, lai sniegtu ekonomisko un sociālekonomisko ieguvumu no pētnieciskās darbības un inovācijas” un “Zemi ieguldījumi P&amp;A, nepietiekama valsts, uzņēmējdarbības un zinātnes sadarbība”, kas apgrūtina inovāciju un augstas pievienotās vērtības produktu un pakalpojumu attīstību, kā arī apgrūtina Latvijas starptautisko konkurētspēju, mazināšana. Pasākums sniegs ieguldījumu NAP2027 minēto izaicinājumu risināšanā, gan sniedzot tiešu ieguldījumu P&amp;A, gan tematiskās pētījumu platformas ietvaros veicinot sadarbību starp zinātniskajām institūcijām un komercsektoru.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 atbalstāmās darbības un risinājumi mērķēti Kurzemes, Latgales, Vidzemes un Zemgales statistiskajiem reģioniem saskaņā ar 2022. gada 25. novembrī spēkā esošo Statistiski teritoriālo vienību nomenklatūras 3. līmeņa (NUTS 3. līmenis) klasifikāciju.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plānoto pētniecības pieteikumu ietvaros radītie rezultāti ir tieši vērsti, lai izstrādātu risinājumus, veiktu kūdras nozares siltumnīcefekta gāzu (SEG) emisiju un ogļskābās gāzes (CO2) piesaistes izpēti, pilnveidotu Latvijas siltumnīcefekta gāzu emisiju inventarizācijas metodes, siltumnīcefekta gāzu (SEG) emisiju mazinošas, klimatam draudzīgākas kūdras ieguves un apstrādes tehnoloģiju radīšana un risinājumi degradēto purvu, nerekultivēto vēsturisko ieguves vietu un tām piegulošo ietekmēto teritoriju rekultivācijas aktivitātēm, jaunu tehnoloģiju un produktu kūdras nozares klimatneitralitātes veicināšanai izstrāde, nākotnes scenāriju izstrāde par rekultivēto kūdras ieguves vietu turpmākām izmantošanas iespējām un bioloģiskās daudzveidības saglabāšanu tajās.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rezultāti var ietekmēt attiecīgo jomu, bet nav tieši mērķēti uz vienlīdzīgu iespēju jautājumu risināšanu.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pasākuma projekta vadībā un īstenošanā tiks nodrošināta nediskriminācija pēc vecuma, dzimuma, etniskās piederības un citām pazīmes un virzīti pasākumi, kas veicina nediskrimināciju un pamattiesību ievērošanu. Projektā jānodrošina, ka pasākuma (semināri, konferences) norises vietai ir iespēja fiziski piekļūt un to izmantot apmeklētājiem ar dažādiem funkcionāliem traucējumiem (ja attiecināms).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kritēriju komplektā iekļauts kvalitātes kritērijs (Projektā ir paredzētas darbības,  kas veicina horizontālā principa “Vienlīdzība, iekļaušana, nediskriminācija un pamattiesību ievērošana”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pasākuma projekta vadībā un īstenošanā (zinātniskais personāls) tiks nodrošināta nediskriminācija pēc vecuma, dzimuma, etniskās piederības un citām pazīmes un virzīti pasākumi, kas veicina nediskrimināciju un pamattiesību ievērošanu. Pasākumā organizētie pasākumi (semināri, konference u.c. informatīvie pasākumi) būs vienlīdz pieejamas visām mērķa grupas personām, neatkarīgi no dzimuma.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plānots nodrošināt atbilstību vismaz šādai vispārīgajai HP VINPI darbībai, piemēram: 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sievietēm un vīriešiem (projekta vadības un īstenošanas personālam) tiks nodrošinātas vienlīdzīgas iespējas, tostarp nodrošinot dalību informatīvajos pasākumos, semināros, komandējumos.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ir netieša pozitīva ietekme uz horizontālo principu "Vienlīdzība, iekļaušana, nediskriminācija un pamattiesību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paredzētas izmaksas horizontālā principa “Vienlīdzība, iekļaušana, nediskriminācija un pamattiesību ievērošana” darbību īstenošanai, tai skaitā energoterapeitu, zīmju valodas tulka, reāllaika transkripcijas, subtitru nodrošināšana pasākumos iesaistītajām mērķa grupas personām, kā arī darba vietas personai ar invaliditāti pielāgošanas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Pasākumā paredzēts, ka tiek ievērots horizontālais princips "Vienlīdzība, iekļaušana, nediskriminācija un pamattiesību ievērošana" un tiek uzkrāti dati par projekta ietekmi uz horizontālā principa rādītāju - mediju kampaņu, semināru, konferenču  un komunikācijas pasākumu skaits, kuros sabiedrības informēšanai tika nodrošināti cilvēkiem ar dažāda veida funkcionāliem traucējumiem piekļūstami formāti (piemēram, tulkošana zīmju valodā, subtitrēšana, reāllaika transkripcija, raidījumu un pasākumu ieraksti) (ja attiecināms).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iesniegumu atlases vērtēšanas procesā tiks vērtēta projektu atbilstība kvalitātes kritērijam "Projektā ir paredzētas darbības,  kas veicina horizontālā principa “Vienlīdzība, iekļaušana, nediskriminācija un pamattiesību ievērošana” īstenošanu". Kritērijs nav izslēdzošs.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23-TA-2866</w:t>
    </w:r>
    <w:r>
      <w:br/>
    </w:r>
    <w:r w:rsidR="00000000" w:rsidRPr="00000000" w:rsidDel="00000000">
      <w:rPr>
        <w:rtl w:val="0"/>
      </w:rPr>
      <w:t xml:space="preserve">Izdrukāts 29.07.2026. 22.14 - 1.0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23-TA-2866</w:t>
    </w:r>
    <w:r>
      <w:br/>
    </w:r>
    <w:r w:rsidR="00000000" w:rsidRPr="00000000" w:rsidDel="00000000">
      <w:rPr>
        <w:rtl w:val="0"/>
      </w:rPr>
      <w:t xml:space="preserve">Izdrukāts 29.07.2026. 22.14 - 1.0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anotācija_(ex_ante)_23-TA-2866.docx</dc:title>
</cp:coreProperties>
</file>

<file path=docProps/custom.xml><?xml version="1.0" encoding="utf-8"?>
<Properties xmlns="http://schemas.openxmlformats.org/officeDocument/2006/custom-properties" xmlns:vt="http://schemas.openxmlformats.org/officeDocument/2006/docPropsVTypes"/>
</file>