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28. decembra noteikumos Nr. 1229 "Noteikumi par šķirnes atšķirīguma, viendabīguma un stabilitātes pārbaudi""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2010. gada 28. decembra noteikumos Nr. 1229 "Noteikumi par šķirnes atšķirīguma, viendabīguma un stabilitātes pārbaudi"" (turpmāk – noteikumu projekts) sagatavots, jo spēkā ir stājusies </w:t>
      </w:r>
      <w:r w:rsidR="00000000" w:rsidRPr="00000000" w:rsidDel="00000000">
        <w:rPr>
          <w:rtl w:val="0"/>
        </w:rPr>
        <w:t xml:space="preserve">Komisijas 2025. gada 4. decembra Īstenošanas direktīva (ES) 2025/2449, ar ko attiecībā uz lopbarības kāļu, lopbarības kāpostu, rīsu, lapu kāpostu grupas, Toskānas kāpostu grupas, </w:t>
      </w:r>
      <w:r w:rsidR="00000000" w:rsidRPr="00000000" w:rsidDel="00000000">
        <w:rPr>
          <w:i w:val="1"/>
          <w:rtl w:val="0"/>
        </w:rPr>
        <w:t xml:space="preserve">Tronchuda </w:t>
      </w:r>
      <w:r w:rsidR="00000000" w:rsidRPr="00000000" w:rsidDel="00000000">
        <w:rPr>
          <w:rtl w:val="0"/>
        </w:rPr>
        <w:t xml:space="preserve">grupas (Portugāles kāposts), Ķīnas kāpostu, tomātu un spinātu šķirņu pārbaužu protokoliem groza Direktīvu 2003/90/EK un Direktīvu 2003/91/EK (turpmāk – direktīva 2025/2449).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28. decembra noteikumos Nr. 1229 "Noteikumi par šķirnes atšķirīguma, viendabīguma un stabilitātes pārbaudi" (turpmāk – noteikumi Nr. 1229) pārņemt direktīvas 2025/2449 prasības par Kopienas Augu šķirņu biroja (turpmāk – </w:t>
      </w:r>
      <w:r w:rsidR="00000000" w:rsidRPr="00000000" w:rsidDel="00000000">
        <w:rPr>
          <w:i w:val="1"/>
          <w:rtl w:val="0"/>
        </w:rPr>
        <w:t xml:space="preserve">CPVO</w:t>
      </w:r>
      <w:r w:rsidR="00000000" w:rsidRPr="00000000" w:rsidDel="00000000">
        <w:rPr>
          <w:rtl w:val="0"/>
        </w:rPr>
        <w:t xml:space="preserve">) pārbaudes protokoliem un Starptautiskās Jaunu augu šķirņu aizsardzības savienības (turpmāk – </w:t>
      </w:r>
      <w:r w:rsidR="00000000" w:rsidRPr="00000000" w:rsidDel="00000000">
        <w:rPr>
          <w:i w:val="1"/>
          <w:rtl w:val="0"/>
        </w:rPr>
        <w:t xml:space="preserve">UPOV</w:t>
      </w:r>
      <w:r w:rsidR="00000000" w:rsidRPr="00000000" w:rsidDel="00000000">
        <w:rPr>
          <w:rtl w:val="0"/>
        </w:rPr>
        <w:t xml:space="preserve">) pārbaužu vadlīnijām.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2025/2449 noteikts, ka dalībvalstis ne vēlāk kā līdz 2026. gada 30. jūnijam pieņem un publicē normatīvos un administratīvos aktus, kas vajadzīgi, lai izpildītu šīs direktīvas prasības un piemēro minētos noteikumus no 2026. gada 1. jūlija.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1229 noteikti </w:t>
      </w:r>
      <w:r w:rsidR="00000000" w:rsidRPr="00000000" w:rsidDel="00000000">
        <w:rPr>
          <w:i w:val="1"/>
          <w:rtl w:val="0"/>
        </w:rPr>
        <w:t xml:space="preserve">CPVO </w:t>
      </w:r>
      <w:r w:rsidR="00000000" w:rsidRPr="00000000" w:rsidDel="00000000">
        <w:rPr>
          <w:rtl w:val="0"/>
        </w:rPr>
        <w:t xml:space="preserve">šķirnes pārbaudes protokoli un </w:t>
      </w:r>
      <w:r w:rsidR="00000000" w:rsidRPr="00000000" w:rsidDel="00000000">
        <w:rPr>
          <w:i w:val="1"/>
          <w:rtl w:val="0"/>
        </w:rPr>
        <w:t xml:space="preserve">UPOV </w:t>
      </w:r>
      <w:r w:rsidR="00000000" w:rsidRPr="00000000" w:rsidDel="00000000">
        <w:rPr>
          <w:rtl w:val="0"/>
        </w:rPr>
        <w:t xml:space="preserve">šķirnes pārbaudes vadlīnijas, un atbilstoši tām notiek šķirnes atšķirīguma, viendabīguma un stabilitātes pārbaude. Noteikumu Nr. 1229 1. pielikumā ir iekļauti </w:t>
      </w:r>
      <w:r w:rsidR="00000000" w:rsidRPr="00000000" w:rsidDel="00000000">
        <w:rPr>
          <w:i w:val="1"/>
          <w:rtl w:val="0"/>
        </w:rPr>
        <w:t xml:space="preserve">CPVO </w:t>
      </w:r>
      <w:r w:rsidR="00000000" w:rsidRPr="00000000" w:rsidDel="00000000">
        <w:rPr>
          <w:rtl w:val="0"/>
        </w:rPr>
        <w:t xml:space="preserve">pārbaužu protokoli un </w:t>
      </w:r>
      <w:r w:rsidR="00000000" w:rsidRPr="00000000" w:rsidDel="00000000">
        <w:rPr>
          <w:i w:val="1"/>
          <w:rtl w:val="0"/>
        </w:rPr>
        <w:t xml:space="preserve">UPOV </w:t>
      </w:r>
      <w:r w:rsidR="00000000" w:rsidRPr="00000000" w:rsidDel="00000000">
        <w:rPr>
          <w:rtl w:val="0"/>
        </w:rPr>
        <w:t xml:space="preserve">pārbaudes vadlīnijas lauksaimniecības, dārzeņu un augļaugu sugām. Gan </w:t>
      </w:r>
      <w:r w:rsidR="00000000" w:rsidRPr="00000000" w:rsidDel="00000000">
        <w:rPr>
          <w:i w:val="1"/>
          <w:rtl w:val="0"/>
        </w:rPr>
        <w:t xml:space="preserve">CPVO </w:t>
      </w:r>
      <w:r w:rsidR="00000000" w:rsidRPr="00000000" w:rsidDel="00000000">
        <w:rPr>
          <w:rtl w:val="0"/>
        </w:rPr>
        <w:t xml:space="preserve">protokoli, gan </w:t>
      </w:r>
      <w:r w:rsidR="00000000" w:rsidRPr="00000000" w:rsidDel="00000000">
        <w:rPr>
          <w:i w:val="1"/>
          <w:rtl w:val="0"/>
        </w:rPr>
        <w:t xml:space="preserve">UPOV </w:t>
      </w:r>
      <w:r w:rsidR="00000000" w:rsidRPr="00000000" w:rsidDel="00000000">
        <w:rPr>
          <w:rtl w:val="0"/>
        </w:rPr>
        <w:t xml:space="preserve">pārbaudes vadlīnijas tiek regulāri pārskatītas.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CPVO </w:t>
      </w:r>
      <w:r w:rsidR="00000000" w:rsidRPr="00000000" w:rsidDel="00000000">
        <w:rPr>
          <w:rtl w:val="0"/>
        </w:rPr>
        <w:t xml:space="preserve">un </w:t>
      </w:r>
      <w:r w:rsidR="00000000" w:rsidRPr="00000000" w:rsidDel="00000000">
        <w:rPr>
          <w:i w:val="1"/>
          <w:rtl w:val="0"/>
        </w:rPr>
        <w:t xml:space="preserve">UPOV </w:t>
      </w:r>
      <w:r w:rsidR="00000000" w:rsidRPr="00000000" w:rsidDel="00000000">
        <w:rPr>
          <w:rtl w:val="0"/>
        </w:rPr>
        <w:t xml:space="preserve">ir atjauninājuši esošos protokolus un vadlīnijas attiecībā uz konkrētām lauksaimniecības kultūraugu un dārzeņu sugām. Šie atjauninājumi ir ietverti direktīvā 2025/2449.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1229 ir jāpārņem direktīvas 2025/2449 prasības, norādot atsauces uz jaunākajiem </w:t>
      </w:r>
      <w:r w:rsidR="00000000" w:rsidRPr="00000000" w:rsidDel="00000000">
        <w:rPr>
          <w:i w:val="1"/>
          <w:rtl w:val="0"/>
        </w:rPr>
        <w:t xml:space="preserve">CPVO </w:t>
      </w:r>
      <w:r w:rsidR="00000000" w:rsidRPr="00000000" w:rsidDel="00000000">
        <w:rPr>
          <w:rtl w:val="0"/>
        </w:rPr>
        <w:t xml:space="preserve">pārbaužu protokoliem un </w:t>
      </w:r>
      <w:r w:rsidR="00000000" w:rsidRPr="00000000" w:rsidDel="00000000">
        <w:rPr>
          <w:i w:val="1"/>
          <w:rtl w:val="0"/>
        </w:rPr>
        <w:t xml:space="preserve">UPOV </w:t>
      </w:r>
      <w:r w:rsidR="00000000" w:rsidRPr="00000000" w:rsidDel="00000000">
        <w:rPr>
          <w:rtl w:val="0"/>
        </w:rPr>
        <w:t xml:space="preserve">pārbaudes vadlīnijām konkrētām lauksaimniecības kultūraugu un dārzeņu sugām.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direktīvu 2025/2449 ir atjaunināti esošie </w:t>
      </w:r>
      <w:r w:rsidR="00000000" w:rsidRPr="00000000" w:rsidDel="00000000">
        <w:rPr>
          <w:i w:val="1"/>
          <w:rtl w:val="0"/>
        </w:rPr>
        <w:t xml:space="preserve">CPVO </w:t>
      </w:r>
      <w:r w:rsidR="00000000" w:rsidRPr="00000000" w:rsidDel="00000000">
        <w:rPr>
          <w:rtl w:val="0"/>
        </w:rPr>
        <w:t xml:space="preserve">protokoli attiecībā uz lopbarības kāļiem, lapu kāpostiem, Ķīnas kāpostiem, tomātiem un spinātiem, kā arī </w:t>
      </w:r>
      <w:r w:rsidR="00000000" w:rsidRPr="00000000" w:rsidDel="00000000">
        <w:rPr>
          <w:i w:val="1"/>
          <w:rtl w:val="0"/>
        </w:rPr>
        <w:t xml:space="preserve">CPVO </w:t>
      </w:r>
      <w:r w:rsidR="00000000" w:rsidRPr="00000000" w:rsidDel="00000000">
        <w:rPr>
          <w:rtl w:val="0"/>
        </w:rPr>
        <w:t xml:space="preserve">ir pārskatījis protokolus ābelēm, ābeļu potcelmiem un skābajiem ķiršiem. Direktīvā 2025/2449 ir noteikts, ka papildus iepriekšminētajam </w:t>
      </w:r>
      <w:r w:rsidR="00000000" w:rsidRPr="00000000" w:rsidDel="00000000">
        <w:rPr>
          <w:i w:val="1"/>
          <w:rtl w:val="0"/>
        </w:rPr>
        <w:t xml:space="preserve">UPOV</w:t>
      </w:r>
      <w:r w:rsidR="00000000" w:rsidRPr="00000000" w:rsidDel="00000000">
        <w:rPr>
          <w:rtl w:val="0"/>
        </w:rPr>
        <w:t xml:space="preserve"> vadlīnijas par ripsi ir jāaizstāj ar </w:t>
      </w:r>
      <w:r w:rsidR="00000000" w:rsidRPr="00000000" w:rsidDel="00000000">
        <w:rPr>
          <w:i w:val="1"/>
          <w:rtl w:val="0"/>
        </w:rPr>
        <w:t xml:space="preserve">CPVO </w:t>
      </w:r>
      <w:r w:rsidR="00000000" w:rsidRPr="00000000" w:rsidDel="00000000">
        <w:rPr>
          <w:rtl w:val="0"/>
        </w:rPr>
        <w:t xml:space="preserve">protokolu.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Sagatavots noteikumu projekts, lai pārņemtu direktīvas 2025/2449 prasības par atjauninātajiem </w:t>
      </w:r>
      <w:r w:rsidR="00000000" w:rsidRPr="00000000" w:rsidDel="00000000">
        <w:rPr>
          <w:i w:val="1"/>
          <w:rtl w:val="0"/>
        </w:rPr>
        <w:t xml:space="preserve">CPVO </w:t>
      </w:r>
      <w:r w:rsidR="00000000" w:rsidRPr="00000000" w:rsidDel="00000000">
        <w:rPr>
          <w:rtl w:val="0"/>
        </w:rPr>
        <w:t xml:space="preserve">protokoliem un </w:t>
      </w:r>
      <w:r w:rsidR="00000000" w:rsidRPr="00000000" w:rsidDel="00000000">
        <w:rPr>
          <w:i w:val="1"/>
          <w:rtl w:val="0"/>
        </w:rPr>
        <w:t xml:space="preserve">UPOV</w:t>
      </w:r>
      <w:r w:rsidR="00000000" w:rsidRPr="00000000" w:rsidDel="00000000">
        <w:rPr>
          <w:rtl w:val="0"/>
        </w:rPr>
        <w:t xml:space="preserve"> vadlīnijām konkrētām lauksaimniecības kultūraugu un dārzeņu sugām. Ar noteikumu projekta 1.2. apakšpunktu noteikumu Nr. 1229 1. pielikums izteikts jaunā redakcijā, precizējot jaunākos 2025. gadā pārskatītos </w:t>
      </w:r>
      <w:r w:rsidR="00000000" w:rsidRPr="00000000" w:rsidDel="00000000">
        <w:rPr>
          <w:i w:val="1"/>
          <w:rtl w:val="0"/>
        </w:rPr>
        <w:t xml:space="preserve">CPVO </w:t>
      </w:r>
      <w:r w:rsidR="00000000" w:rsidRPr="00000000" w:rsidDel="00000000">
        <w:rPr>
          <w:rtl w:val="0"/>
        </w:rPr>
        <w:t xml:space="preserve">protokolu un </w:t>
      </w:r>
      <w:r w:rsidR="00000000" w:rsidRPr="00000000" w:rsidDel="00000000">
        <w:rPr>
          <w:i w:val="1"/>
          <w:rtl w:val="0"/>
        </w:rPr>
        <w:t xml:space="preserve">UPOV </w:t>
      </w:r>
      <w:r w:rsidR="00000000" w:rsidRPr="00000000" w:rsidDel="00000000">
        <w:rPr>
          <w:rtl w:val="0"/>
        </w:rPr>
        <w:t xml:space="preserve">vadlīniju numurus un datumus tādām sugām kā lopbarības kāļi, lapu kāposti, Ķīnas kāposti, tomāti un spināti. </w:t>
      </w:r>
      <w:r w:rsidR="00000000" w:rsidRPr="00000000" w:rsidDel="00000000">
        <w:rPr>
          <w:i w:val="1"/>
          <w:rtl w:val="0"/>
        </w:rPr>
        <w:t xml:space="preserve">CPVO </w:t>
      </w:r>
      <w:r w:rsidR="00000000" w:rsidRPr="00000000" w:rsidDel="00000000">
        <w:rPr>
          <w:rtl w:val="0"/>
        </w:rPr>
        <w:t xml:space="preserve">protokoli ābelēm, ābeļu potcelmiem un skābajiem ķiršiem ir precizēti, ievērojot jaunāko </w:t>
      </w:r>
      <w:r w:rsidR="00000000" w:rsidRPr="00000000" w:rsidDel="00000000">
        <w:rPr>
          <w:i w:val="1"/>
          <w:rtl w:val="0"/>
        </w:rPr>
        <w:t xml:space="preserve">CPVO </w:t>
      </w:r>
      <w:r w:rsidR="00000000" w:rsidRPr="00000000" w:rsidDel="00000000">
        <w:rPr>
          <w:rtl w:val="0"/>
        </w:rPr>
        <w:t xml:space="preserve">tīmekļvietnē https://cpvo.europa.eu/en/applications-and-examinations/technical-examinations/technical-protocols/cpvo-technical-protocols pieejamo informāciju. </w:t>
      </w:r>
      <w:r w:rsidR="00000000" w:rsidRPr="00000000" w:rsidDel="00000000">
        <w:rPr>
          <w:i w:val="1"/>
          <w:rtl w:val="0"/>
        </w:rPr>
        <w:t xml:space="preserve">UPOV </w:t>
      </w:r>
      <w:r w:rsidR="00000000" w:rsidRPr="00000000" w:rsidDel="00000000">
        <w:rPr>
          <w:rtl w:val="0"/>
        </w:rPr>
        <w:t xml:space="preserve">vadlīnijas par ripsi aizstāj ar </w:t>
      </w:r>
      <w:r w:rsidR="00000000" w:rsidRPr="00000000" w:rsidDel="00000000">
        <w:rPr>
          <w:i w:val="1"/>
          <w:rtl w:val="0"/>
        </w:rPr>
        <w:t xml:space="preserve">CPVO </w:t>
      </w:r>
      <w:r w:rsidR="00000000" w:rsidRPr="00000000" w:rsidDel="00000000">
        <w:rPr>
          <w:rtl w:val="0"/>
        </w:rPr>
        <w:t xml:space="preserve">protokolu, svītrojot tās no 1. pielikuma </w:t>
      </w:r>
      <w:r w:rsidR="00000000" w:rsidRPr="00000000" w:rsidDel="00000000">
        <w:rPr>
          <w:i w:val="1"/>
          <w:rtl w:val="0"/>
        </w:rPr>
        <w:t xml:space="preserve">UPOV </w:t>
      </w:r>
      <w:r w:rsidR="00000000" w:rsidRPr="00000000" w:rsidDel="00000000">
        <w:rPr>
          <w:rtl w:val="0"/>
        </w:rPr>
        <w:t xml:space="preserve">vadlīniju saraksta.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1229 nav norādīti </w:t>
      </w:r>
      <w:r w:rsidR="00000000" w:rsidRPr="00000000" w:rsidDel="00000000">
        <w:rPr>
          <w:i w:val="1"/>
          <w:rtl w:val="0"/>
        </w:rPr>
        <w:t xml:space="preserve">CPVO</w:t>
      </w:r>
      <w:r w:rsidR="00000000" w:rsidRPr="00000000" w:rsidDel="00000000">
        <w:rPr>
          <w:rtl w:val="0"/>
        </w:rPr>
        <w:t xml:space="preserve"> protokoli lopbarības kāpostiem (kacenkāpostiem un kolardiem), Toskānas kāpostu grupai un </w:t>
      </w:r>
      <w:r w:rsidR="00000000" w:rsidRPr="00000000" w:rsidDel="00000000">
        <w:rPr>
          <w:i w:val="1"/>
          <w:rtl w:val="0"/>
        </w:rPr>
        <w:t xml:space="preserve">Tronchuda </w:t>
      </w:r>
      <w:r w:rsidR="00000000" w:rsidRPr="00000000" w:rsidDel="00000000">
        <w:rPr>
          <w:rtl w:val="0"/>
        </w:rPr>
        <w:t xml:space="preserve">grupai (Portugāles kāposti), bet tie ir ietverti Direktīvā 2025/2449. Šie papildinājumi ir jāievieš arī nacionālajos tiesību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papildina noteikumus Nr. 1229, iekļaujot lopbarības kāpostu (kacenkāpostu un kolardu), Toskānas kāpostu grupas un </w:t>
      </w:r>
      <w:r w:rsidR="00000000" w:rsidRPr="00000000" w:rsidDel="00000000">
        <w:rPr>
          <w:i w:val="1"/>
          <w:rtl w:val="0"/>
        </w:rPr>
        <w:t xml:space="preserve">Tronchuda </w:t>
      </w:r>
      <w:r w:rsidR="00000000" w:rsidRPr="00000000" w:rsidDel="00000000">
        <w:rPr>
          <w:rtl w:val="0"/>
        </w:rPr>
        <w:t xml:space="preserve">grupas (Portugāles kāpostu) </w:t>
      </w:r>
      <w:r w:rsidR="00000000" w:rsidRPr="00000000" w:rsidDel="00000000">
        <w:rPr>
          <w:i w:val="1"/>
          <w:rtl w:val="0"/>
        </w:rPr>
        <w:t xml:space="preserve">CPVO</w:t>
      </w:r>
      <w:r w:rsidR="00000000" w:rsidRPr="00000000" w:rsidDel="00000000">
        <w:rPr>
          <w:rtl w:val="0"/>
        </w:rPr>
        <w:t xml:space="preserve"> protokolus.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2025/2449 4. panta 1. punktā noteikts, ka dalībvalstis ne vēlāk kā 2026. gada 30. jūnijam pieņem un publicē normatīvos un administratīvos aktus, kas vajadzīgi, lai izpildītu šīs direktīvas prasības. Minētajiem noteikumiem jāstājas spēkā 2026. gada 1. jūlijā.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apakšpunktā dota atsauce uz direktīvu 2025/2449 un 2. punktā noteikts, ka noteikumi stājas spēkā 2026. gada 1. jūlijā.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attieksies uz selekcionāriem, šķirnes uzturētājiem un to pilnvarotiem pārstāvjiem. Minētajām personām būs pieejama aktuālā informācija par spēkā esošiem </w:t>
      </w:r>
      <w:r w:rsidR="00000000" w:rsidRPr="00000000" w:rsidDel="00000000">
        <w:rPr>
          <w:i w:val="1"/>
          <w:rtl w:val="0"/>
        </w:rPr>
        <w:t xml:space="preserve">CPVO </w:t>
      </w:r>
      <w:r w:rsidR="00000000" w:rsidRPr="00000000" w:rsidDel="00000000">
        <w:rPr>
          <w:rtl w:val="0"/>
        </w:rPr>
        <w:t xml:space="preserve">šķirnes pārbaudes protokoliem un </w:t>
      </w:r>
      <w:r w:rsidR="00000000" w:rsidRPr="00000000" w:rsidDel="00000000">
        <w:rPr>
          <w:i w:val="1"/>
          <w:rtl w:val="0"/>
        </w:rPr>
        <w:t xml:space="preserve">UPOV </w:t>
      </w:r>
      <w:r w:rsidR="00000000" w:rsidRPr="00000000" w:rsidDel="00000000">
        <w:rPr>
          <w:rtl w:val="0"/>
        </w:rPr>
        <w:t xml:space="preserve">šķirnes pārbaudes vadlīnijām, uz kurām pamatojoties šķirņu pārbaudes iestādes veiks šķirņu pārbaudi.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attieksies uz selekcionāriem, šķirnes uzturētājiem un to pilnvarotiem pārstāvjiem. Minētajām personām būs pieejama aktuālā informācija par spēkā esošiem </w:t>
      </w:r>
      <w:r w:rsidR="00000000" w:rsidRPr="00000000" w:rsidDel="00000000">
        <w:rPr>
          <w:i w:val="1"/>
          <w:rtl w:val="0"/>
        </w:rPr>
        <w:t xml:space="preserve">CPVO </w:t>
      </w:r>
      <w:r w:rsidR="00000000" w:rsidRPr="00000000" w:rsidDel="00000000">
        <w:rPr>
          <w:rtl w:val="0"/>
        </w:rPr>
        <w:t xml:space="preserve">šķirnes pārbaudes protokoliem un </w:t>
      </w:r>
      <w:r w:rsidR="00000000" w:rsidRPr="00000000" w:rsidDel="00000000">
        <w:rPr>
          <w:i w:val="1"/>
          <w:rtl w:val="0"/>
        </w:rPr>
        <w:t xml:space="preserve">UPOV </w:t>
      </w:r>
      <w:r w:rsidR="00000000" w:rsidRPr="00000000" w:rsidDel="00000000">
        <w:rPr>
          <w:rtl w:val="0"/>
        </w:rPr>
        <w:t xml:space="preserve">šķirnes pārbaudes vadlīnijām, uz kurām pamatojoties šķirņu pārbaudes iestādes veiks šķirņu pārbaudi.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32025L2449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2025. gada 4. decembra Īstenošanas direktīva (ES) 2025/2449, ar ko attiecībā uz lopbarības kāļu, lopbarības kāpostu, rīsu, lapu kāpostu grupas, Toskānas kāpostu grupas, Tronchuda grupas (Portugāles kāposts), Ķīnas kāpostu, tomātu un spinātu šķirņu pārbaužu protokoliem groza Direktīvu 2003/90/EK un Direktīvu 2003/91/EK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2025. gada 4. decembra Īstenošanas direktīva (ES) 2025/2449, ar ko attiecībā uz lopbarības kāļu, lopbarības kāpostu, rīsu, lapu kāpostu grupas, Toskānas kāpostu grupas, Tronchuda grupas (Portugāles kāposts), Ķīnas kāpostu, tomātu un spinātu šķirņu pārbaužu protokoliem groza Direktīvu 2003/90/EK un Direktīvu 2003/91/EK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kas direktīvas 2003/90/EK I un II pielikumu aizstāj šīs direktīvas pielikuma A daļas tekstu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 Noteikumu Nr.1229 1. pielikuma I nodaļa "Laukaugu sugas".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 kas direktīvas 2003/91/EK I pielikumu aizstāj ar šīs direktīvas pielikuma B daļas tekstu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 Noteikumu Nr.1229 1. pielikuma II nodaļa "Dārzeņu sugas".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Latvijā laukaugu un dārzeņu sugām netiek veiktas atšķirīguma, viendabīguma un stabilitātes pārbaudes.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 un 2. punkts. Noteikumu Nr. 1229 informatīvās atsauces uz Eiropas Savienības direktīvām 23.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tiek noteikts dalībvalsts paziņošanas pienākums Komisijai.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noteikta spēkā stāšanās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minēti direktīvas adresāti.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daļa (grozītais direktīvas 2003/90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 Noteikumu Nr. 1229 1. pielikuma I nodaļas 1.1.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Latvijai ir atbrīvojums no atsevišķu sugu prasību pārņemšanas; sk. pie punkta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daļa (grozītais direktīvas 2003/90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 Noteikumu Nr. 1229 1. pielikuma I nodaļas 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daļa (grozītais direktīvas 2003/91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 Noteikumu Nr. 1229 1. pielikuma II nodaļas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Komisijai kā tehnisko noteikumu projekts atbilstoši Ministru kabineta 2010. gada 23. februāra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ir atbrīvota no tādu sugu pārņemšanas savos normatīvajos aktos, kuras nav piemērotas Latvijas klimatiskajiem apstākļiem un valstī netiek audzētas, tāpēc nav pamata pārņemt direktīvā 2025/2449 noteikto šķirņu obligāti pārbaudāmās prasības tām sugām, kas Latvijā netiek audzētas. Atbrīvojums attiecas uz šādām sugām: </w:t>
            </w:r>
            <w:r w:rsidR="00000000" w:rsidRPr="00000000" w:rsidDel="00000000">
              <w:rPr>
                <w:sz w:val="24"/>
                <w:i w:val="1"/>
                <w:rtl w:val="0"/>
              </w:rPr>
              <w:t xml:space="preserve">Bromus catharticus</w:t>
            </w:r>
            <w:r w:rsidR="00000000" w:rsidRPr="00000000" w:rsidDel="00000000">
              <w:rPr>
                <w:sz w:val="24"/>
                <w:rtl w:val="0"/>
              </w:rPr>
              <w:t xml:space="preserve"> Vahl – akotu lāčauzu, </w:t>
            </w:r>
            <w:r w:rsidR="00000000" w:rsidRPr="00000000" w:rsidDel="00000000">
              <w:rPr>
                <w:sz w:val="24"/>
                <w:i w:val="1"/>
                <w:rtl w:val="0"/>
              </w:rPr>
              <w:t xml:space="preserve">Bromus sitchensis</w:t>
            </w:r>
            <w:r w:rsidR="00000000" w:rsidRPr="00000000" w:rsidDel="00000000">
              <w:rPr>
                <w:sz w:val="24"/>
                <w:rtl w:val="0"/>
              </w:rPr>
              <w:t xml:space="preserve"> Trin. – Sitkas lāčauzu, </w:t>
            </w:r>
            <w:r w:rsidR="00000000" w:rsidRPr="00000000" w:rsidDel="00000000">
              <w:rPr>
                <w:sz w:val="24"/>
                <w:i w:val="1"/>
                <w:rtl w:val="0"/>
              </w:rPr>
              <w:t xml:space="preserve">Medicago doliata </w:t>
            </w:r>
            <w:r w:rsidR="00000000" w:rsidRPr="00000000" w:rsidDel="00000000">
              <w:rPr>
                <w:sz w:val="24"/>
                <w:rtl w:val="0"/>
              </w:rPr>
              <w:t xml:space="preserve">Carmign. – taisndzeloņu lucernu, </w:t>
            </w:r>
            <w:r w:rsidR="00000000" w:rsidRPr="00000000" w:rsidDel="00000000">
              <w:rPr>
                <w:sz w:val="24"/>
                <w:i w:val="1"/>
                <w:rtl w:val="0"/>
              </w:rPr>
              <w:t xml:space="preserve">Medicago italica</w:t>
            </w:r>
            <w:r w:rsidR="00000000" w:rsidRPr="00000000" w:rsidDel="00000000">
              <w:rPr>
                <w:sz w:val="24"/>
                <w:rtl w:val="0"/>
              </w:rPr>
              <w:t xml:space="preserve"> (Mill.) Fiori – Itālijas lucernu, </w:t>
            </w:r>
            <w:r w:rsidR="00000000" w:rsidRPr="00000000" w:rsidDel="00000000">
              <w:rPr>
                <w:sz w:val="24"/>
                <w:i w:val="1"/>
                <w:rtl w:val="0"/>
              </w:rPr>
              <w:t xml:space="preserve">Medicago littoralis</w:t>
            </w:r>
            <w:r w:rsidR="00000000" w:rsidRPr="00000000" w:rsidDel="00000000">
              <w:rPr>
                <w:sz w:val="24"/>
                <w:rtl w:val="0"/>
              </w:rPr>
              <w:t xml:space="preserve"> Rohde ex Loisel. – piekrastes lucernu, </w:t>
            </w:r>
            <w:r w:rsidR="00000000" w:rsidRPr="00000000" w:rsidDel="00000000">
              <w:rPr>
                <w:sz w:val="24"/>
                <w:i w:val="1"/>
                <w:rtl w:val="0"/>
              </w:rPr>
              <w:t xml:space="preserve">Medicago murex</w:t>
            </w:r>
            <w:r w:rsidR="00000000" w:rsidRPr="00000000" w:rsidDel="00000000">
              <w:rPr>
                <w:sz w:val="24"/>
                <w:rtl w:val="0"/>
              </w:rPr>
              <w:t xml:space="preserve"> Willd. – dzeloņaino lucernu, </w:t>
            </w:r>
            <w:r w:rsidR="00000000" w:rsidRPr="00000000" w:rsidDel="00000000">
              <w:rPr>
                <w:sz w:val="24"/>
                <w:i w:val="1"/>
                <w:rtl w:val="0"/>
              </w:rPr>
              <w:t xml:space="preserve">Medicago polymorpha</w:t>
            </w:r>
            <w:r w:rsidR="00000000" w:rsidRPr="00000000" w:rsidDel="00000000">
              <w:rPr>
                <w:sz w:val="24"/>
                <w:rtl w:val="0"/>
              </w:rPr>
              <w:t xml:space="preserve"> L. – zobaino lucernu, </w:t>
            </w:r>
            <w:r w:rsidR="00000000" w:rsidRPr="00000000" w:rsidDel="00000000">
              <w:rPr>
                <w:sz w:val="24"/>
                <w:i w:val="1"/>
                <w:rtl w:val="0"/>
              </w:rPr>
              <w:t xml:space="preserve">Medicago rugosa</w:t>
            </w:r>
            <w:r w:rsidR="00000000" w:rsidRPr="00000000" w:rsidDel="00000000">
              <w:rPr>
                <w:sz w:val="24"/>
                <w:rtl w:val="0"/>
              </w:rPr>
              <w:t xml:space="preserve"> Desr. – krokaino lucernu, </w:t>
            </w:r>
            <w:r w:rsidR="00000000" w:rsidRPr="00000000" w:rsidDel="00000000">
              <w:rPr>
                <w:sz w:val="24"/>
                <w:i w:val="1"/>
                <w:rtl w:val="0"/>
              </w:rPr>
              <w:t xml:space="preserve">Medicago scutellata</w:t>
            </w:r>
            <w:r w:rsidR="00000000" w:rsidRPr="00000000" w:rsidDel="00000000">
              <w:rPr>
                <w:sz w:val="24"/>
                <w:rtl w:val="0"/>
              </w:rPr>
              <w:t xml:space="preserve"> (L.) Mill. – vairoga lucernu, </w:t>
            </w:r>
            <w:r w:rsidR="00000000" w:rsidRPr="00000000" w:rsidDel="00000000">
              <w:rPr>
                <w:sz w:val="24"/>
                <w:i w:val="1"/>
                <w:rtl w:val="0"/>
              </w:rPr>
              <w:t xml:space="preserve">Medicago truncatula</w:t>
            </w:r>
            <w:r w:rsidR="00000000" w:rsidRPr="00000000" w:rsidDel="00000000">
              <w:rPr>
                <w:sz w:val="24"/>
                <w:rtl w:val="0"/>
              </w:rPr>
              <w:t xml:space="preserve"> Gaertn. – nošķelto lucernu, </w:t>
            </w:r>
            <w:r w:rsidR="00000000" w:rsidRPr="00000000" w:rsidDel="00000000">
              <w:rPr>
                <w:sz w:val="24"/>
                <w:i w:val="1"/>
                <w:rtl w:val="0"/>
              </w:rPr>
              <w:t xml:space="preserve">Arachis hypogaea</w:t>
            </w:r>
            <w:r w:rsidR="00000000" w:rsidRPr="00000000" w:rsidDel="00000000">
              <w:rPr>
                <w:sz w:val="24"/>
                <w:rtl w:val="0"/>
              </w:rPr>
              <w:t xml:space="preserve"> L. – zemesriekstu, </w:t>
            </w:r>
            <w:r w:rsidR="00000000" w:rsidRPr="00000000" w:rsidDel="00000000">
              <w:rPr>
                <w:sz w:val="24"/>
                <w:i w:val="1"/>
                <w:rtl w:val="0"/>
              </w:rPr>
              <w:t xml:space="preserve">Gossypium</w:t>
            </w:r>
            <w:r w:rsidR="00000000" w:rsidRPr="00000000" w:rsidDel="00000000">
              <w:rPr>
                <w:sz w:val="24"/>
                <w:rtl w:val="0"/>
              </w:rPr>
              <w:t xml:space="preserve"> spp. – kokvilnu un </w:t>
            </w:r>
            <w:r w:rsidR="00000000" w:rsidRPr="00000000" w:rsidDel="00000000">
              <w:rPr>
                <w:sz w:val="24"/>
                <w:i w:val="1"/>
                <w:rtl w:val="0"/>
              </w:rPr>
              <w:t xml:space="preserve">Oryza sativa </w:t>
            </w:r>
            <w:r w:rsidR="00000000" w:rsidRPr="00000000" w:rsidDel="00000000">
              <w:rPr>
                <w:sz w:val="24"/>
                <w:rtl w:val="0"/>
              </w:rPr>
              <w:t xml:space="preserve">L. – rīsiem. Atbrīvojums izriet no Eiropas Komisijas 2017. gada 16. marta Īstenošanas lēmuma (ES) 2017/478, ar kuru konkrētas dalībvalstis atbrīvo no pienākuma konkrētām sugām piemērot Padomes Direktīvas 6/401/EEK, 66/402/EEK, 68/193/EEK, 1999/105/EK, 2002/54/EK, 2002/55/EK un 2002/57/EK attiecīgi par lopbarības augu sēklu, graudaugu sēklu, vīnogulāju veģetatīvās pavairošanas materiāla, meža reproduktīvā materiāla, biešu sēklu, dārzeņu sēklu un eļļas augu un šķiedraugu sēklu tirdzniecības un ar kuru atceļ Komisijas Lēmumu (ES) 2010/680.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https://tapportals.mk.gov.lv/public_participation/e432e23a-87e1-4352-a106-9ddf0a48a3f6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TAP portālā publiskai apspriešanai nodoto noteikumu (grozījumu) projektu (26-TA-421) netika saņemti ne iebildumi, ne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26-TA-421</w:t>
    </w:r>
    <w:r>
      <w:br/>
    </w:r>
    <w:r w:rsidR="00000000" w:rsidRPr="00000000" w:rsidDel="00000000">
      <w:rPr>
        <w:rtl w:val="0"/>
      </w:rPr>
      <w:t xml:space="preserve">Izdrukāts 29.07.2026. 23.38 - 3.0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26-TA-421</w:t>
    </w:r>
    <w:r>
      <w:br/>
    </w:r>
    <w:r w:rsidR="00000000" w:rsidRPr="00000000" w:rsidDel="00000000">
      <w:rPr>
        <w:rtl w:val="0"/>
      </w:rPr>
      <w:t xml:space="preserve">Izdrukāts 29.07.2026. 23.38 - 3.0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anotācija_(ex_ante)_26-TA-421.docx</dc:title>
</cp:coreProperties>
</file>

<file path=docProps/custom.xml><?xml version="1.0" encoding="utf-8"?>
<Properties xmlns="http://schemas.openxmlformats.org/officeDocument/2006/custom-properties" xmlns:vt="http://schemas.openxmlformats.org/officeDocument/2006/docPropsVTypes"/>
</file>