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dividendēs izmaksājamo valsts sabiedrības ar ierobežotu atbildību "Rīgas cirks" peļņas daļu"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pēc valsts kapitāla daļu turētāja pamatota priekšlikuma ar Ministru kabineta rīkojumu var noteikt sadalīt peļņu par 2023.gadu saskaņā ar Ministru kabineta 2022.gada 25.janvāra noteikumu Nr.72 „Kārtība, kādā tiek prognozēti, noteikti un veikti maksājumi par valsts kapitāla izmantošanu” (turpmāk – Noteikumi Nr.72) 9.1.3.apakšpunktu, nosakot dividendes 52% apmērā no kapitālsabiedrības pārskata gada peļņas, un, neiemaksājot dividendes valsts budžeta ieņēmumos, 15 249 </w:t>
      </w:r>
      <w:r w:rsidR="00000000" w:rsidRPr="00000000" w:rsidDel="00000000">
        <w:rPr>
          <w:i w:val="1"/>
          <w:rtl w:val="0"/>
        </w:rPr>
        <w:t xml:space="preserve">euro</w:t>
      </w:r>
      <w:r w:rsidR="00000000" w:rsidRPr="00000000" w:rsidDel="00000000">
        <w:rPr>
          <w:rtl w:val="0"/>
        </w:rPr>
        <w:t xml:space="preserve"> novirzīt valsts deleģēto pārvaldes uzdevumu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valsts sabiedrības ar ierobežotu atbildību „Rīgas cirks” (turpmāk – kapitālsabiedrība) 2023.gadā gūtās peļņas novirzīšana kapitālsabiedrības materiāli tehniskās bāzes uzlabošanai, lai nodrošinātu valsts deleģēto pārvaldes uzdevumu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ir valsts kapitālsabiedrība, kurā 100% kapitāla daļu turētāja ir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ir vienīgā nacionāla līmeņa organizācija cirka mākslas jomā Latvijā. Tās darbība, īstenojot tai deleģētos valsts pārvaldes uzdevumus, ir vērsta uz cirka mākslas popularizēšanu Latvijā, nodrošinot laikmetīgā cirka izrāžu pieejamību sabiedrībai un apgūstot starptautisko pieredzi cirka mākslā. Tā kā kapitālsabiedrības darbības primārais mērķis ir deleģēto valsts pārvaldes uzdevumu veikšana atbilstoši Kultūras institūciju likuma 23.panta otrajai daļai, kapitālsabiedrības 2024.gadā dividendēs izmaksājamo peļņas daļu nepieciešams novirzīt kapitālsabiedrības materiāli tehniskās bāzes uzlabošanai, un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piecu biroja datoru iegādei – viens „Macbook air” dators ar aptuveno cenu 1 800 </w:t>
      </w:r>
      <w:r w:rsidR="00000000" w:rsidRPr="00000000" w:rsidDel="00000000">
        <w:rPr>
          <w:i w:val="1"/>
          <w:rtl w:val="0"/>
        </w:rPr>
        <w:t xml:space="preserve">euro</w:t>
      </w:r>
      <w:r w:rsidR="00000000" w:rsidRPr="00000000" w:rsidDel="00000000">
        <w:rPr>
          <w:rtl w:val="0"/>
        </w:rPr>
        <w:t xml:space="preserve">, savukārt četri datori standarta biroja vajadzībām ar aptuveno cenu 1 000 </w:t>
      </w:r>
      <w:r w:rsidR="00000000" w:rsidRPr="00000000" w:rsidDel="00000000">
        <w:rPr>
          <w:i w:val="1"/>
          <w:rtl w:val="0"/>
        </w:rPr>
        <w:t xml:space="preserve">euro</w:t>
      </w:r>
      <w:r w:rsidR="00000000" w:rsidRPr="00000000" w:rsidDel="00000000">
        <w:rPr>
          <w:rtl w:val="0"/>
        </w:rPr>
        <w:t xml:space="preserve">, kā arī katram datoram papildus nepieciešama programmatūra 200 </w:t>
      </w:r>
      <w:r w:rsidR="00000000" w:rsidRPr="00000000" w:rsidDel="00000000">
        <w:rPr>
          <w:i w:val="1"/>
          <w:rtl w:val="0"/>
        </w:rPr>
        <w:t xml:space="preserve">euro</w:t>
      </w:r>
      <w:r w:rsidR="00000000" w:rsidRPr="00000000" w:rsidDel="00000000">
        <w:rPr>
          <w:rtl w:val="0"/>
        </w:rPr>
        <w:t xml:space="preserve"> apmērā par vienu datoru – kopējās izmaksas 6 800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skatuves dūmu mašīnas iegādei – „MDG” miglas ģenerators ar transporta kasti „AYMe” – 5 324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skatuves aprīkojums – astoņi alumīnija kopņu savienojuma stūri – aptuvenā cena 6 000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2023.gada un 2024.gada deviņu mēnešu darbību raksturojošie finanšu rādītāji: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81"/>
        <w:gridCol w:w="3072"/>
        <w:gridCol w:w="2937"/>
        <w:tblGridChange w:id="0">
          <w:tblGrid>
            <w:gridCol w:w="3181"/>
            <w:gridCol w:w="3072"/>
            <w:gridCol w:w="293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Fakts 2023.pārskata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Fakts 2024.gada deviņos mēnešos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Neto apgrozījums,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408 403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347 317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Bilances kopsumma,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7 625 892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7 639 114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kapitāls, </w:t>
            </w:r>
            <w:r w:rsidR="00000000" w:rsidRPr="00000000" w:rsidDel="00000000">
              <w:rPr>
                <w:sz w:val="24"/>
                <w:i w:val="1"/>
                <w:rtl w:val="0"/>
              </w:rPr>
              <w:t xml:space="preserve">euro</w:t>
            </w:r>
            <w:r w:rsidR="00000000" w:rsidRPr="00000000" w:rsidDel="00000000">
              <w:rPr>
                <w:sz w:val="24"/>
                <w:rtl w:val="0"/>
              </w:rPr>
              <w:t xml:space="preserve">, tai skaitā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73 867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109 563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Pamatkapitāls,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58 618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58 618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Iepriekšējos gadu nesadalītā peļņa vai nesegtie zaudējumi,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-14 348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15 249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Peļņa,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29 597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35 696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kapitāla atdeve (ROE),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likviditātes 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Saistības pret pašu kapitālu*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Kultūras ministrijas piešķirtā valsts budžeta dotācija,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685 745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516 477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*būtiskāko īpatsvaru kopējās saistībās veido Eiropas Reģionālās attīstības fonda projektu ilgtermiņa saistību daļa (89%)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Nr.72 9.1.3.apakšpunktu īpašos gadījumos, lai nodrošinātu Eiropas Savienības vai Latvijas Republikas normatīvajos aktos, Latvijai saistošajos starptautiskajos līgumos noteikto prasību izpildi, kapitālsabiedrībai ir pienākums turpmākajos pārskata gados īstenot pasākumus, lai veicinātu kapitālsabiedrības darbības virzieniem atbilstošu pakalpojumu kvalitātes un pieejamības uzlabošanu, kuru nodrošināšanai nepieciešams ieguldīt papildu finanšu līdzekļus vai samazināt pakalpojuma tarifu tā lietotājiem. Ņemot vērā, ka kapitālsabiedrības 2023.gadā bilancē ir norādīti iepriekšējo gadu zaudējumi 14 348 </w:t>
      </w:r>
      <w:r w:rsidR="00000000" w:rsidRPr="00000000" w:rsidDel="00000000">
        <w:rPr>
          <w:i w:val="1"/>
          <w:rtl w:val="0"/>
        </w:rPr>
        <w:t xml:space="preserve">euro</w:t>
      </w:r>
      <w:r w:rsidR="00000000" w:rsidRPr="00000000" w:rsidDel="00000000">
        <w:rPr>
          <w:rtl w:val="0"/>
        </w:rPr>
        <w:t xml:space="preserve"> apmērā, dividendes par 2023.gadu nevar pārsniegt 15 249 </w:t>
      </w:r>
      <w:r w:rsidR="00000000" w:rsidRPr="00000000" w:rsidDel="00000000">
        <w:rPr>
          <w:i w:val="1"/>
          <w:rtl w:val="0"/>
        </w:rPr>
        <w:t xml:space="preserve">euro</w:t>
      </w:r>
      <w:r w:rsidR="00000000" w:rsidRPr="00000000" w:rsidDel="00000000">
        <w:rPr>
          <w:rtl w:val="0"/>
        </w:rPr>
        <w:t xml:space="preserve">. Ministru kabinets pēc valsts kapitāla daļu turētāja pamatota priekšlikuma ar Ministru kabineta rīkojumu var noteikt sadalīt peļņu par 2023.gadu saskaņā ar Noteikumu Nr.72 9.1.3.apakšpunktu, nosakot dividendes 52% apmērā no kapitālsabiedrības pārskata gada peļņas, un, neiemaksājot dividendes valsts budžeta ieņēmumos, 15 249 </w:t>
      </w:r>
      <w:r w:rsidR="00000000" w:rsidRPr="00000000" w:rsidDel="00000000">
        <w:rPr>
          <w:i w:val="1"/>
          <w:rtl w:val="0"/>
        </w:rPr>
        <w:t xml:space="preserve">euro</w:t>
      </w:r>
      <w:r w:rsidR="00000000" w:rsidRPr="00000000" w:rsidDel="00000000">
        <w:rPr>
          <w:rtl w:val="0"/>
        </w:rPr>
        <w:t xml:space="preserve"> novirzīt valsts deleģēto pārvaldes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kapitālsabiedrību, pamatojoties uz Kultūras institūciju likuma 23.panta otro daļu, 2024.gada 10.janvārī noslēgts līdzdarbības līgums Nr.2.5-8-6 „Par atsevišķu valsts pārvaldes uzdevumu deleģēšanu kultūras jomā”, saskaņā ar kuru kapitālsabiedrības tiešie uzdevumi ietver nodrošināt Rīgas cirka vēsturiskās ēkas noslodzi un veicināt repertuāra plašumu un jaunradi, piedāvājot daudzveidīgas un kvalitatīvas laikmetīgā cirka izrādes, nodrošināt profesionālās cirka mākslas popularizēšanu un pieejamību plašai Latvijas sabiedrībai, ar cirka izrāžu starpniecību nodrošināt kultūrizglītības iespējas bērnu un jauniešu auditorijai, apgūt starptautisko pieredzi cirka mākslas jomā, veicinot izcilību, un nodrošināt kapitālsabiedrības finanšu, tehniskās un tehnoloģiskās darbības efektivitāti un ilgtspēju. Lai kapitālsabiedrība varētu sekmīgi attīstīties un izpildīt tai deleģēto valsts pārvaldes uzdevumu – nodrošināt kapitālsabiedrības finanšu, tehniskās un tehnoloģiskās darbības efektivitāti un ilgtspēju, kapitālsabiedrība ik gadu šī mērķa izpildei iegulda daļu no pašu ieņēmumiem, bet kapitālsabiedrībai ir nepieciešams arī papildu finansējums šī mērķa izpildei, tai skaitā, neiemaksājot dividendes valsts budžeta ieņēmumos, novirzīt tās valsts deleģēto pārvaldes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dalībvalstu tiesībām veikt intervences kultūras pakalpojumu tirgū dažādu atbalsta pasākumu veidā (granti, dotācijas, projektu finansējums, nodokļu atvieglojumi), kultūras pakalpojumi ir izņēmums, kas paredzēts gan Līgumā par Eiropas Savienības darbību, gan tiek plaši piemērots Eiropas Savienības dalībvalstu praksē. Līguma par Eiropas Savienības darbību 167.pants paredz, ka „Savienība veicina dalībvalstu kultūru uzplaukumu, respektējot to nacionālās un reģionālās atšķirības un vienlaikus pievēršot uzmanību kopīgajam kultūras mantojumam. (..) Rīkojoties saskaņā ar citiem Līguma noteikumiem, Savienība ņem vērā kultūras aspektus, jo īpaši, lai respektētu un veicinātu kultūru daudzveidību”. 2016.gada 19.jūlijā tika pieņemts Eiropas Komisijas paziņojums par Līguma par Eiropas Savienības darbību 107.panta 1.punktā minēto valsts atbalsta jēdzienu (2016/c 262/01) (turpmāk – Paziņojums par valsts atbalsta jēdzienu), tostarp skaidrojot valsts atbalsta nosacījumu piemērošanu atsevišķu nozaru ietvaros, piemēram, kultūrai un kultūrvēsturiskā mantojuma saglabāšanai, dabas aizsardzībai. Saskaņā ar Paziņojuma par valsts atbalsta jēdzienu 33. un 34.punktā noteikto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Eiropas Komisija ir norādījusi, ka atsevišķas ar kultūru, kultūrvēsturiskā mantojuma saglabāšanu un dabas aizsardzību saistības darbības var būt organizētas nekomerciāli un tādējādi tās ir tādas, kurām nav saimnieciska rakstura, līdz ar to publiskais finansējums, kas tām piešķirts, var nebūt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tad, ja no kultūras iestādes apmeklētājiem vai sabiedrībai pieejama kultūras vai kultūrvēsturiskā mantojuma saglabāšanas pasākuma dalībniekiem tiek prasīta samaksa, kas sedz tikai daļu no faktiskajām izmaksām, šim pasākumam tik un tā nav saimnieciska rakstura, jo šādu samaksu nevar uzskatīt par reālu atlīdzību par sniegto pakalpojumu. Eiropas Komisijas skaidrojumā „daļa no faktiskajām izmaksām” ir ne vairāk kā 50% no kopējiem kultūras iestādes izdevumiem (biļešu ieņēmumi, maksas pakalpojumu u.c. pašu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2023.gada darbības rādītājiem kapitālsabiedrības pašu ieņēmumi no saimnieciskās darbības, tai skaitā no biļešu tirdzniecības, bija 408 403 </w:t>
      </w:r>
      <w:r w:rsidR="00000000" w:rsidRPr="00000000" w:rsidDel="00000000">
        <w:rPr>
          <w:i w:val="1"/>
          <w:rtl w:val="0"/>
        </w:rPr>
        <w:t xml:space="preserve">euro</w:t>
      </w:r>
      <w:r w:rsidR="00000000" w:rsidRPr="00000000" w:rsidDel="00000000">
        <w:rPr>
          <w:rtl w:val="0"/>
        </w:rPr>
        <w:t xml:space="preserve">, kas veidoja 29,9% no kopējiem kapitālsabiedrības izdevumiem (1 365 497 </w:t>
      </w:r>
      <w:r w:rsidR="00000000" w:rsidRPr="00000000" w:rsidDel="00000000">
        <w:rPr>
          <w:i w:val="1"/>
          <w:rtl w:val="0"/>
        </w:rPr>
        <w:t xml:space="preserve">euro</w:t>
      </w:r>
      <w:r w:rsidR="00000000" w:rsidRPr="00000000" w:rsidDel="00000000">
        <w:rPr>
          <w:rtl w:val="0"/>
        </w:rPr>
        <w:t xml:space="preserve">) kultūras pakalpojumu pieejamības nodrošināšanā. Savukārt saskaņā ar 2024.gada deviņu mēnešu darbības rādītājiem kapitālsabiedrības pašu ieņēmumi no saimnieciskās darbības, tai skaitā no biļešu tirdzniecības, bija 347 317 </w:t>
      </w:r>
      <w:r w:rsidR="00000000" w:rsidRPr="00000000" w:rsidDel="00000000">
        <w:rPr>
          <w:i w:val="1"/>
          <w:rtl w:val="0"/>
        </w:rPr>
        <w:t xml:space="preserve">euro</w:t>
      </w:r>
      <w:r w:rsidR="00000000" w:rsidRPr="00000000" w:rsidDel="00000000">
        <w:rPr>
          <w:rtl w:val="0"/>
        </w:rPr>
        <w:t xml:space="preserve">, kas veidoja 40,2% no kopējiem kapitālsabiedrības izdevumiem (863 170 </w:t>
      </w:r>
      <w:r w:rsidR="00000000" w:rsidRPr="00000000" w:rsidDel="00000000">
        <w:rPr>
          <w:i w:val="1"/>
          <w:rtl w:val="0"/>
        </w:rPr>
        <w:t xml:space="preserve">euro)</w:t>
      </w:r>
      <w:r w:rsidR="00000000" w:rsidRPr="00000000" w:rsidDel="00000000">
        <w:rPr>
          <w:rtl w:val="0"/>
        </w:rPr>
        <w:t xml:space="preserve"> kultūras pakalpojumu pieejamības nodrošināšanā. Ņemot vērā to, ka pašu ieņēmumi no saimnieciskās darbības, tai skaitā no biļešu tirdzniecības, 2023.gadā nepārsniedza 50% no izdevumiem un ieņēmumu dinamika 2024.gadā liecina, ka ieņēmumi no saimnieciskās darbības, tai skaitā no biļešu tirdzniecības, 2024.gadā arī nepārsniegs 50% no izdevumiem, secināms, ka pasākumam nav saimnieciska rakstura.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Laikmetīgais cirks ir salīdzinoši jauns skatuves mākslas žanrs, tādēļ kapitālsabiedrība daudz strādā pie vietējās auditorijas kultūras patēriņa vajadzību apmierināšanas. Vienas izrādes ietvaros idejas atspoguļošanai tiek izmantota viena vai vairākas cirka disciplīnas, piemēram, žonglēšana, akrobātika, gaisa akrobātika, maģija un līdzsvara disciplīnas. Lai sekmētu māksliniecisko izaugsmi un daudzveidību, kapitālsabiedrība sadarbojas ar pasaules labākajiem cirka māksliniekiem, kā rezultātā top multinacionālas izrādes. Šādās izrādēs var tik izmantota angļu valoda, bet, tā kā cirka māksla pati par sevi ir valoda, tad izrādēs izmantojamai valodai parasti ir tikai pakārtota (informatīva) nozīme. Izrādes netiek reklamētas ārvalstīs un tāpēc tās nepiesaista ievērojamu skaitu skatītāju no citām Eiropas Savienības dalībvalstīm, līdz ar to piešķirtais valsts budžeta finansējums kapitālsabiedrībai nevar ietekmēt tirdzniecību un konkurenci starp dalībvalstīm, un šim atbalsta pasākumam (t.i., dotācijai no valsts pamatbudžeta) ir vienīgi vietēja mēroga ietekme. Ņemot vērā iepriekš minēto, ka ieņēmumi no saimnieciskās darbības 2023.gadā nepārsniedza 50% no izdevumiem un 2024.gadā arī to nepārsniegs, kā arī to, ka nepastāv ietekme uz tirdzniecību un konkurenci starp citām Eiropas Savienības dalībvalstīm, pasākums nekvalificējas kā komercdarbības atbalsts un komercdarbības atbalstu regulējošās tiesību normas nav jāpiemēro.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Kapitālsabiedrībai uzsākot darbu atjaunotajās Rīgas cirka vēsturiskās ēkas telpās Rīgā, Merķeļa ielā 4, Rīgas cirks veidojas par multifunkcionālu un daudzveidīgu kultūras pasākumu norises vietu. Tās modernai un efektīvai apsaimniekošanai nepieciešama datortehnika un risinājumi, kas atbilst sadarbības partneru un privātā sektora tehnoloģiskajiem parametriem un prasībām, nepieciešams nodrošināt programmnodrošinājumu „DWG” failu apstrādei, „AUTOCAD”, „Resolume” un citas failu apstrādes sistēmas, tai skaitā „MacOS” vidē. Lai sagatavotu kvalitatīvu scenogrāfiju, materiālus drukai, afišas un citus dizaina darbus, nepieciešama specifiska datoru monitoru ekrāna kvalitāte ar augstu izšķirtspēju un krāsu kvalitāti. Daļa no datoriem, kas iegādāti pirms vairāk kā pieciem gadiem, nespēj šīs funkcijas nodrošināt. Paplašinot kapitālsabiedrības piedāvāto pasākumu klāstu un intensitāti, ir palielinājies arī darbinieku skaits, tāpēc kapitālsabiedrībai nepieciešams veikt piecu profesionālu datoru iegādi. Skatuves dūmu mašīna ir tehnoloģiskā iekārta, kuru kapitālsabiedrība līdz šim bija spiesta nomāt, lai nodrošinātu savas un viesmākslinieku prasības, tādējādi tam paredzot papildu līdzekļus. Ņemot vērā cirka arēnas apjomu un specifiku, ir izvēlēta specifiska dūmu mašīna, kuras jauda ir būtiski lielāka nekā līdzīgām dūmu mašīnām, kuras izmanto teātros. Dūmu mašīnas iegāde arī uzlabotu cirka arēnas tehnoloģisko nodrošinājumu un veicinātu citu pasākumu rīkošanu, iznomājot cirka arēnu. Alumīnija kopņu stūru iegāde ir vitāli svarīga cirka arēnas multifunkcionalitātei, lai nepieciešamības gadījumā tā būtu pārbūvējama par „Black-box” teātri, kā arī būtu iespēja uzbūvēt kulises dramaturģisku iestudējumu vajadzībām. Tādējādi tiks nodrošināta cirkā uzņemamo mākslas pasākumu daudzveidība. Uzskaitīto pamatlīdzekļu iegādes kopsumma pārsniedz 15 249 </w:t>
      </w:r>
      <w:r w:rsidR="00000000" w:rsidRPr="00000000" w:rsidDel="00000000">
        <w:rPr>
          <w:i w:val="1"/>
          <w:rtl w:val="0"/>
        </w:rPr>
        <w:t xml:space="preserve">euro</w:t>
      </w:r>
      <w:r w:rsidR="00000000" w:rsidRPr="00000000" w:rsidDel="00000000">
        <w:rPr>
          <w:rtl w:val="0"/>
        </w:rPr>
        <w:t xml:space="preserve"> un atlikušo pirkuma vērtību 2 875 </w:t>
      </w:r>
      <w:r w:rsidR="00000000" w:rsidRPr="00000000" w:rsidDel="00000000">
        <w:rPr>
          <w:i w:val="1"/>
          <w:rtl w:val="0"/>
        </w:rPr>
        <w:t xml:space="preserve">euro</w:t>
      </w:r>
      <w:r w:rsidR="00000000" w:rsidRPr="00000000" w:rsidDel="00000000">
        <w:rPr>
          <w:rtl w:val="0"/>
        </w:rPr>
        <w:t xml:space="preserve"> kapitālsabiedrība plāno segt no tās pašu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28.panta pirmajā daļā un arī Noteikumu Nr.72 4.punktā noteikts, ka dividendēs izmaksājamo peļņas daļu nosaka atbilstoši kapitālsabiedrības stratēģijai, lai nodrošinātu to, ka tiek veiktas ilgtspējīgas un kapitālsabiedrības stratēģiskajiem mērķiem atbilstošas investīcijas. Publiskas personas kapitāla daļu un kapitālsabiedrību pārvaldības likuma 57.panta ceturtās daļas 8.apakšpunkts nosaka, ka stratēģijā tiek iekļauts arī kapitālsabiedrības attīstībai atbilstošs naudas plūsmas plāns. Ņemot vērā, ka kapitālsabiedrībai nav spēkā esošas vidēja termiņa darbības stratēģijas (iepriekšējā kapitālsabiedrības vidēja termiņa darbības stratēģija bija spēkā līdz 2021.gadam), kapitālsabiedrība ir iesniegusi izskatīšanai valsts kapitāla daļu turētājam vidēja termiņa darbības stratēģijas projektu 2024.-2026.gadam.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kapitālsabiedrība spētu īstenot valsts deleģētos pārvaldes uzdevumus un nodrošinātu tās tehniskās un tehnoloģiskās darbības efektivitāti un ilgtspēju, kā arī augstvērtīgu māksliniecisko darbību, nepieciešams papildu atbalsts kapitālsabiedrības materiāli tehniskās bāzes uzlabošanai, iegādājoties minētās tehnoloģiskās un tehniskās iekārtas, līdz ar to Kultūras ministrija ierosina Ministru kabinetam noteikt sadalīt peļņu par 2023.gadu saskaņā ar Noteikumu Nr.72 9.1.3.apakšpunktu, nosakot dividendes 52% apmērā no kapitālsabiedrības pārskata gada peļņas, un, neiemaksājot dividendes valsts budžeta ieņēmumos, 15 249 </w:t>
      </w:r>
      <w:r w:rsidR="00000000" w:rsidRPr="00000000" w:rsidDel="00000000">
        <w:rPr>
          <w:i w:val="1"/>
          <w:rtl w:val="0"/>
        </w:rPr>
        <w:t xml:space="preserve">euro</w:t>
      </w:r>
      <w:r w:rsidR="00000000" w:rsidRPr="00000000" w:rsidDel="00000000">
        <w:rPr>
          <w:rtl w:val="0"/>
        </w:rPr>
        <w:t xml:space="preserve"> novirzīt deleģēto valsts pārvaldes uzdevumu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382 942 220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382 942 220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382 942 220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382 942 220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-15 249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2024.gadam un budžeta ietvaru 2024., 2025. un 2026.gadam” 2024.gadā ir ieplānoti ieņēmumi no dividendēm (ieņēmumi no valsts (pašvaldību) kapitāla izmantošanas) 382 942 220 </w:t>
      </w:r>
      <w:r w:rsidR="00000000" w:rsidRPr="00000000" w:rsidDel="00000000">
        <w:rPr>
          <w:i w:val="1"/>
          <w:rtl w:val="0"/>
        </w:rPr>
        <w:t xml:space="preserve">euro</w:t>
      </w:r>
      <w:r w:rsidR="00000000" w:rsidRPr="00000000" w:rsidDel="00000000">
        <w:rPr>
          <w:rtl w:val="0"/>
        </w:rPr>
        <w:t xml:space="preserve">. Projekta pieņemšanas gadījumā 2024.gadā valsts budžets negūs ieņēmumus no dividendēm 15 249 </w:t>
      </w:r>
      <w:r w:rsidR="00000000" w:rsidRPr="00000000" w:rsidDel="00000000">
        <w:rPr>
          <w:i w:val="1"/>
          <w:rtl w:val="0"/>
        </w:rPr>
        <w:t xml:space="preserve">euro</w:t>
      </w:r>
      <w:r w:rsidR="00000000" w:rsidRPr="00000000" w:rsidDel="00000000">
        <w:rPr>
          <w:rtl w:val="0"/>
        </w:rPr>
        <w:t xml:space="preserve"> apmērā. Uzņēmuma ienākuma nodoklis no dividendēs sadalītās peļņas daļas un valsts deleģētajiem pārvaldes uzdevumiem novirzāmās summas tiks aprēķināts un nomaksāts normatīvajos aktos noteiktajā kārtībā un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dividenžu izlietošanas kārtību,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„Rīgas cirks”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par dividendēs izmaksājamās peļņas daļas novirzīšanu valsts deleģēto pārvaldes uzdevumu izmaksu segšanai, 15 249 </w:t>
      </w:r>
      <w:r w:rsidR="00000000" w:rsidRPr="00000000" w:rsidDel="00000000">
        <w:rPr>
          <w:i w:val="1"/>
          <w:rtl w:val="0"/>
        </w:rPr>
        <w:t xml:space="preserve">euro</w:t>
      </w:r>
      <w:r w:rsidR="00000000" w:rsidRPr="00000000" w:rsidDel="00000000">
        <w:rPr>
          <w:rtl w:val="0"/>
        </w:rPr>
        <w:t xml:space="preserve"> tiks novirzīti kapitālsabiedrībai, kā arī uzņēmumu ienākuma nodoklis tiks aprēķināts un nomaksāts uzņēmumu ienākuma nodokli regulējošos normatīvajos aktos noteiktajā kārtībā. Minētā dividendēs izmaksājamā peļņas daļa tiek novirzīta kapitālsabiedrībai, lai nodrošinātu valsts deleģēto pārvaldes uzdevumu veikšanu, atbilstoši palielinot Kultūras ministrijas un kapitālsabiedrības 2024.gada 19.janvārī noslēgtā līguma Nr.2.5-11-13 „Par valsts budžeta finansējuma izlietošanu” 1.punktā minēto finansējumu un norādot konkrētu finansējuma izlietošanas mērķi, kā arī palielinot minētā līguma 2.5.4.apakšpunktā noteiktā rezultatīvā rādītāja „Ieguldījumi tehniskās un tehnoloģiskās darbības ilgtspējas nodrošināšanā, tai skaitā mākslinieciskai darbībai nepieciešamās infrastruktūras uzturēšanā un attīstīšanā un mākslinieciski tehniskās bāzes pilnveidošanā (skaņu tehnikas, gaismu tehnikas, video tehnikas, skatuves tehnoloģiju u.c. atjaunošanā)” summu, norādot, ka 15 249 </w:t>
      </w:r>
      <w:r w:rsidR="00000000" w:rsidRPr="00000000" w:rsidDel="00000000">
        <w:rPr>
          <w:i w:val="1"/>
          <w:rtl w:val="0"/>
        </w:rPr>
        <w:t xml:space="preserve">euro</w:t>
      </w:r>
      <w:r w:rsidR="00000000" w:rsidRPr="00000000" w:rsidDel="00000000">
        <w:rPr>
          <w:rtl w:val="0"/>
        </w:rPr>
        <w:t xml:space="preserve"> tiks izmantots piecu biroja datoru ar programmatūru, skatuves aprīkojuma – astoņu alumīnija kopņu savienojuma stūru, skatuves dūmu mašīnas iegādei. Kapitālsabiedrības valdei finansēšanas līgumā tiks noteikts pienākums līdz 2025.gada 15.janvārim sniegt atskaiti par piešķirto 15 249 </w:t>
      </w:r>
      <w:r w:rsidR="00000000" w:rsidRPr="00000000" w:rsidDel="00000000">
        <w:rPr>
          <w:i w:val="1"/>
          <w:rtl w:val="0"/>
        </w:rPr>
        <w:t xml:space="preserve">euro</w:t>
      </w:r>
      <w:r w:rsidR="00000000" w:rsidRPr="00000000" w:rsidDel="00000000">
        <w:rPr>
          <w:rtl w:val="0"/>
        </w:rPr>
        <w:t xml:space="preserve"> izlietojumu atbilstoši finansēšanas līgumā noteiktajam mērķim.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24-TA-2858</w:t>
    </w:r>
    <w:r>
      <w:br/>
    </w:r>
    <w:r w:rsidR="00000000" w:rsidRPr="00000000" w:rsidDel="00000000">
      <w:rPr>
        <w:rtl w:val="0"/>
      </w:rPr>
      <w:t xml:space="preserve">Izdrukāts 29.07.2026. 23.38 - 2.0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24-TA-2858</w:t>
    </w:r>
    <w:r>
      <w:br/>
    </w:r>
    <w:r w:rsidR="00000000" w:rsidRPr="00000000" w:rsidDel="00000000">
      <w:rPr>
        <w:rtl w:val="0"/>
      </w:rPr>
      <w:t xml:space="preserve">Izdrukāts 29.07.2026. 23.38 - 2.0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anotācija_(ex_ante)_24-TA-2858.docx</dc:title>
</cp:coreProperties>
</file>

<file path=docProps/custom.xml><?xml version="1.0" encoding="utf-8"?>
<Properties xmlns="http://schemas.openxmlformats.org/officeDocument/2006/custom-properties" xmlns:vt="http://schemas.openxmlformats.org/officeDocument/2006/docPropsVTypes"/>
</file>