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2022. gada 14. decembra Regulu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sākās Latvijas Kopējās lauksaimniecības politikas stratēģiskā plāna 2023.–2027. gadam (turpmāk – KLP SP) ieviešana un jaunais 2023.–2027. gada Eiropas Lauksaimniecības garantiju fonda un Eiropas Lauksaimniecības fonda lauku attīstībai plānošanas periods. Noteikumi nosaka valsts un Eiropas Savienības atbalsta piešķiršanas kārtību intervencē LA20 "Sadarbība pārtikas īso piegāžu ķēžu darbības veicināšanai un piedāvājuma nodrošināšanai" (turpmāk – intervence).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KLP SP īstenošanas periodu, jāizdod Ministru kabineta noteikumi, jo ir pieņemti Eiropas Savienības normatīvie akti par atbalsta piešķiršanu lauku attīstībai no Eiropas Lauksaimniecības fonda lauku attīstībai (turpmāk – ELFLA).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novembrī Eiropas Komisija ar Īstenošanas lēmumu apstiprināja Zemkopības ministrijas izstrādāto KLP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intervences mērķis ir sekmēt vietējās produkcijas ilgtspējīgu patēriņu, attīstot īso pārtikas piegādes ķēžu darbību un piedāvājumu pārtikas produktu piegādes un sabiedriskās ēdināšanas pakalpojumu nodrošināšanai, izmantojot vietējās teritorijas dotās iespējas un potenciālu, kā arī sadarbību starp produktu ražotājiem, lai kopīgi virzītu vietējo produktu piedāvājumu tirgū un sekmētu to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ir problēmas ar vietējās produkcijas ilgtspējīgu patēriņu un īso pārtikas piegādes ķēžu izveidi, izmantojot vietējās teritorijas dotās iespējas un potenciālu. Tāpat ir jāveicina sadarbība starp produktu ražotājiem, lai kopīgi virzītu vietējo produktu piedāvājumu tirgū un sekmētu to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veicinās pārtikas nozares dalībnieku sadarbību, lai, koncentrējot ražošanas apjomu, nodrošinātu labāku piekļuvi tirgum, tā optimizējot izmaksas un palielinot ienākumus. Tāpat atbalsts veicinās sadarbību starp lauksaimniekiem, pārstrādātājiem un citiem piegādes ķēdes un tirgus dalībniekiem, lai risinātu problēmas, kas saistītas ar nelielu produkcijas daudzumu, produktu izplatīšanu un uzglabāšanu. Īsās piegādes ķēdes samazinās potenciālo starpnieku skaitu starp ražotāju un galapatērētāju, samazinot ražošanas transportēšanas un pārdošanas izmaksas, lokalizējot lauksaimniecības un pārtikas produktus un sasaistot tos ar izcelsmes vietu. Intervences pasākumi, veicinot vietējās produkcijas patēriņu, sekmēs vides un sabiedrības veselības aizsardzības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ir paredzēti divi pasākumi – "Pārtikas īso piegāžu ķēžu darbības veicināšana" un "Produktu virzība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"Pārtikas īso piegāžu ķēžu darbības veicināšana" tiks sniegts atbalsts, lai, attīstot īsās piegādes ķēdes, veicinātu vietējās produkcijas ilgtspējīgu patēriņu un kopīgu piedāvājumu veidošanu, tā dodot lielāku iespēju arī sabiedriskās ēdināšanas pakalpojumu sniegšanas vietās (kafejnīcās, restorānos, izglītības, sociālās aprūpes, ārstniecības iestādēs u. c.) nodrošināt vietējo ražotāju izaudzētu un pārstrādātu kvalitatīvu pārtikas produktu pieejamību un līdz ar to veicinot vietējo ražotāju iespējas realizēt saražoto produkciju. Šāda veida sadarbība arī sekmēs lielāka apjoma saražotās produkcijas noietu vietējā teritorijā vai plašākā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Izveidotajai sadarbības grupai jānosaka reģions, kurā tā darbosies, jo produkts ražojams, pārstrādājams un pārdodams pēc iespējas tuvāk galapatērētājam. Produktu nevarēs realizēt vairumtirgotājam, un tas ļaus izvairīties no tā, ka ir vairāk nekā viens starpnieks.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ietver trešo personu sniegto ārējo pakalpojumu izmaksas, tostarp to ārējo pakalpojumu izmaksas, kas saistītas ar informācijas tehnoloģijas pakalpojumiem tikai esošo datubāzu būtiskai uzlabošanai, piemēram, tīmekļvietnē "Novada garša".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atbalsta saņēmējam ir jāizveido īsā piegādes ķēde, nodrošinot sadarbības grupā iesaistīto partneru saražoto produktu uzglabāšanu un kopīgu realizāciju vismaz vienā (mazumtirdzniecības) tirdzniecības vietā, vai jābūt noslēgtam ilgtermiņa līgumam par produkcijas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tirdzniecības vietai varētu būt pārvietojamais mazumtirdzniecības punkts (autoveikals), internetveikals, vieta paviljonā un (vai) tirgū, kur notiek mazumtirdzniecība, tirdzniecība produktu ražošanas vietā (saimniecībā), tirdzniecība saskaņā ar ilgtermiņa pārdošanas līgumiem; papildus var attīstīt citus tirdzniecības veidus un periodiskas vai pagaidu tirdzniecības vietas (piemēram, tirdzniecību īslaicīgos pasākumos un tirdzniecības automātos bez pārdevēja).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izmantotās pamatizejvielas ir lauksaimniecības produkti. Tā kā noteikumu projektā atbalsts paredzēts projektiem, kuru plānotais galaprodukts ir minēts Līguma par Eiropas Savienības darbību I pielikumā, netiek piešķirts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"Produktu virzība tirgū" tiks atbalstīta sadarbība starp maziem ekonomikas dalībniekiem lauku teritorijā, veicinot vietējo produktu piedāvājumu virzību tirgū un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Maziem ekonomikas dalībniekiem, darbojoties atsevišķi, īpaši lauku tūrisma nozarē, ir sarežģīti nodrošināt tādus lauku tūrisma pakalpojumus, kas rosinātu ceļotāju un tūristu interesi par pakalpojumu. Sniegtais atbalsts palielinās mazo ekonomikas dalībnieku dzīvotspēju, attīstību un konkurētspēju. Latvijas tirgus un vietējo iedzīvotāju pirktspēja ir ierobežota, tāpēc svarīga arī lauku tūrisma (īpaši kulinārā tūrisma) pakalpojumu sniedzēju iesaiste un sadarbība, lai nodrošinātu vietējo produktu pieejamību tūristiem un citiem ceļotājiem.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atbalsts pieejams arī Eiropas Savienības vai dalībvalsts atzītas pārtikas kvalitātes shēmu produktu veicināšanai un atpazīstamībai.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tiks izstrādāta fiksētas summas maksājuma metodika "Produktu virzība tirgū", kas piemērojama pasākumam "Produktu virzība tirgū" un tiks saskaņota līdz projekta iesniegšanas izsludināšanas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pasākumā piešķir saskaņā ar Komisijas 2022. gada 14. decembra Regulas (ES) 2022/2472, ar kuru, piemērojot Līguma par Eiropas Savienības darbību 107. un 108. pantu, dažu kategoriju atbalstu lauksaimniecības un mežsaimniecības nozarē un lauku apvidos atzīst par saderīgu ar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tiks veidotas sadarbības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pasākumā "Pārtikas īso piegāžu ķēžu darbības veicināšana" piedalīsies lauksaimnieki, lauksaimniecības produktu pārstrādātāji, kooperatīvā sabiedrība, konsultanti, vietējā rīcības grupa vai citas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grupā vismaz pieciem sadarbības partneriem ir jābūt lauksaimniekiem vai lauksaimniecības produktu pārstrādātājiem vai kooperatīvajām sabiedrībām, kuru kopējais neto apgrozījums ir vismaz 4000 </w:t>
      </w:r>
      <w:r w:rsidR="00000000" w:rsidRPr="00000000" w:rsidDel="00000000">
        <w:rPr>
          <w:i w:val="1"/>
          <w:rtl w:val="0"/>
        </w:rPr>
        <w:t xml:space="preserve">euro</w:t>
      </w:r>
      <w:r w:rsidR="00000000" w:rsidRPr="00000000" w:rsidDel="00000000">
        <w:rPr>
          <w:rtl w:val="0"/>
        </w:rPr>
        <w:t xml:space="preserve">. Sadarbības grupā var piedalīties arī lauksaimnieki, lauksaimniecības produktu pārstrādātāji vai kooperatīvās sabiedrības ar mazāku neto apgrozījumu nekā sestais vai septītais grupas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pasākumā "Produktu virzība tirgū" piedalīsies lauksaimnieki, lauksaimniecības produktu pārstrādātāji, kooperatīvā sabiedrība, lauku tūrisma pakalpojuma sniedzēji, konsultanti, vietējā rīcības grupa vai citas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finansējums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vienai sadarbības grupai pasākumā "Pārtikas īso piegāžu ķēžu darbības veicināšana" kopējā attiecināmo izmaksu summa nepārsniedz 500 000 </w:t>
      </w:r>
      <w:r w:rsidR="00000000" w:rsidRPr="00000000" w:rsidDel="00000000">
        <w:rPr>
          <w:i w:val="1"/>
          <w:rtl w:val="0"/>
        </w:rPr>
        <w:t xml:space="preserve">euro</w:t>
      </w:r>
      <w:r w:rsidR="00000000" w:rsidRPr="00000000" w:rsidDel="00000000">
        <w:rPr>
          <w:rtl w:val="0"/>
        </w:rPr>
        <w:t xml:space="preserve">. Ja pasākumā nav paredzēta būvniecība vai pārbūve – tad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vienai sadarbības grupai pasākumā "Produktu virzība tirgū" kopējā attiecināmo izmaksu summa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65 procenti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80 procentu no attiecināmajām izmaksām aktivizēšanas un atpazīstamības veidošanas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100 procentu personāla atlīdzības un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"Pārtikas īso piegāžu ķēžu darbības veicināšana" projekta uzraudzības laiks ir trīs gadi, kad turpinās projekta kopīgā sadarbība un gūtā rezultāta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šajā intervencē par vienām un tām pašām attiecināmajām izmaksām nevar pārklāties ar atbalstu no citiem līdzīgiem atbalsta pasākumiem. Demarkācija un potenciālais dubultā finansējuma risks tiks novērsts, projektu līmenī Lauku atbalsta dienestam sadarbojoties ar Centrālo un finanšu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projektu iesniegumi, tos izvērtējot, sākotnēji tiks sarindoti atbilstoši projektu atlases kritēriju punktiem, kuri tiks izskatīti un apstiprināti KLP stratēģiskā plāna 2023.–2027. gadam Uzraudzības komitejā. Priekšroka saņemt atbalstu būs sadarbības grupai, kurai ir lielāks sadarbības dalībnieku skaits, partneru daudzveidība un kurā piedalās uzņēmēji, kas projekta iesniegšanas brīdī ir iesaistījušies zaļo publisko iepirkumu (ZPI) pārtikas piegādē, projektiem, kuros plānots piegādāt atbilstoši kvalitātes sistēmām audzētu, ražotu un (vai) pārstrādātu produkciju, projektiem, kurus koordinē vietējā rīcības grupa (nodrošinot vietējo rīcības grupu funkciju nodalīšanu) un kuros ir lielāks labumu guvēju loks.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sadarbības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grupa apvieno vismaz piecus dažādus un neatkarīgus sadarbības partnerus – lauksaimniekus, lauksaimniecības produktu pārstrādātājus, kooperatīvās sabiedrības, vietējo rīcības grupu, lauku tūrisma pakalpojuma sniedzējus, konsultantus vai citas inovācijās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2023.–2027. gada plānošanas periodā indikatīvi plānotas 95 sadarbības grupas.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mikrouzņēmumus, kā arī mazos un vidējos uzņēmumus, jo dod iespēju realizēt to produkciju.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kabinetā 2022. gada 18. janvārī apstiprināto informatīvo ziņojumu (prot. Nr. 3 34.§) "Par Latvijas Kopējās lauksaimniecības politikas stratēģisko plānu 2023.–2027. gadam" pasākumam "Teritorijas attīstības vecināšana ar </w:t>
            </w:r>
            <w:r w:rsidR="00000000" w:rsidRPr="00000000" w:rsidDel="00000000">
              <w:rPr>
                <w:sz w:val="24"/>
                <w:i w:val="1"/>
                <w:rtl w:val="0"/>
              </w:rPr>
              <w:t xml:space="preserve">LEADER </w:t>
            </w:r>
            <w:r w:rsidR="00000000" w:rsidRPr="00000000" w:rsidDel="00000000">
              <w:rPr>
                <w:sz w:val="24"/>
                <w:rtl w:val="0"/>
              </w:rPr>
              <w:t xml:space="preserve">pieeju" ir apstiprināts finansējums 72 300 000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i w:val="1"/>
                <w:rtl w:val="0"/>
              </w:rPr>
              <w:t xml:space="preserve"> </w:t>
            </w:r>
            <w:r w:rsidR="00000000" w:rsidRPr="00000000" w:rsidDel="00000000">
              <w:rPr>
                <w:sz w:val="24"/>
                <w:rtl w:val="0"/>
              </w:rPr>
              <w:t xml:space="preserve">no kura  61 455 000 </w:t>
            </w:r>
            <w:r w:rsidR="00000000" w:rsidRPr="00000000" w:rsidDel="00000000">
              <w:rPr>
                <w:sz w:val="24"/>
                <w:i w:val="1"/>
                <w:rtl w:val="0"/>
              </w:rPr>
              <w:t xml:space="preserve">euro </w:t>
            </w:r>
            <w:r w:rsidR="00000000" w:rsidRPr="00000000" w:rsidDel="00000000">
              <w:rPr>
                <w:sz w:val="24"/>
                <w:rtl w:val="0"/>
              </w:rPr>
              <w:t xml:space="preserve">(85 %) ir ES līdzfinansējums un 10 845 000 </w:t>
            </w:r>
            <w:r w:rsidR="00000000" w:rsidRPr="00000000" w:rsidDel="00000000">
              <w:rPr>
                <w:sz w:val="24"/>
                <w:i w:val="1"/>
                <w:rtl w:val="0"/>
              </w:rPr>
              <w:t xml:space="preserve">euro </w:t>
            </w:r>
            <w:r w:rsidR="00000000" w:rsidRPr="00000000" w:rsidDel="00000000">
              <w:rPr>
                <w:sz w:val="24"/>
                <w:rtl w:val="0"/>
              </w:rPr>
              <w:t xml:space="preserve">(15 %) – valsts līdzfinansējums, un tas ietver arī atbalstu Kopējās lauksaimniecības politikas stratēģiskā plāna 2023.–2027. gadam (KLP SP)  intervencei "Sadarbība pārtikas īso piegāžu ķēžu darbības veicināšanai un piedāvājuma nodrošināšanai", kas tika sagatavota KLP SP saskaņošanas laikā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Latvijas Kopējās lauksaimniecības politikas stratēģisko plānu 2023.–2027. gadam intervencei "Sadarbība pārtikas īso piegāžu ķēžu darbības veicināšanai un piedāvājuma nodrošināšanai" publiskais finansējums apstiprināts 16 000 000 </w:t>
            </w:r>
            <w:r w:rsidR="00000000" w:rsidRPr="00000000" w:rsidDel="00000000">
              <w:rPr>
                <w:sz w:val="24"/>
                <w:i w:val="1"/>
                <w:rtl w:val="0"/>
              </w:rPr>
              <w:t xml:space="preserve">euro </w:t>
            </w:r>
            <w:r w:rsidR="00000000" w:rsidRPr="00000000" w:rsidDel="00000000">
              <w:rPr>
                <w:sz w:val="24"/>
                <w:rtl w:val="0"/>
              </w:rPr>
              <w:t xml:space="preserve">apmērā, no kura 13 600 000 </w:t>
            </w:r>
            <w:r w:rsidR="00000000" w:rsidRPr="00000000" w:rsidDel="00000000">
              <w:rPr>
                <w:sz w:val="24"/>
                <w:i w:val="1"/>
                <w:rtl w:val="0"/>
              </w:rPr>
              <w:t xml:space="preserve">euro </w:t>
            </w:r>
            <w:r w:rsidR="00000000" w:rsidRPr="00000000" w:rsidDel="00000000">
              <w:rPr>
                <w:sz w:val="24"/>
                <w:rtl w:val="0"/>
              </w:rPr>
              <w:t xml:space="preserve">(85 %) ir ES līdzfinansējums un 2 400 000 </w:t>
            </w:r>
            <w:r w:rsidR="00000000" w:rsidRPr="00000000" w:rsidDel="00000000">
              <w:rPr>
                <w:sz w:val="24"/>
                <w:i w:val="1"/>
                <w:rtl w:val="0"/>
              </w:rPr>
              <w:t xml:space="preserve">euro </w:t>
            </w:r>
            <w:r w:rsidR="00000000" w:rsidRPr="00000000" w:rsidDel="00000000">
              <w:rPr>
                <w:sz w:val="24"/>
                <w:rtl w:val="0"/>
              </w:rPr>
              <w:t xml:space="preserve">(15 %) – valsts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finansējuma sadalījums pa gadiem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1 200 000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Sadalījums pa gadiem norādīts indikatīvi un var mainīties atbilstoši nepieciešamībai.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2022/2472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77.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kurus var atbalstīt ar Eiropas lauksaimniecības fondu lauku attīstībai starpniecību. Dalībvalstis atkarībā no to ekonomiskās un sociālās situācijas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Regula2021/2115 dalībvalstīm nosaka rīcības brīvību regulas ieviešanā, tomēr izvēlētajiem nosacījumiem ir jābūt aprakstītiem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34. un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59. panta 6. punkta "c"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59. panta 12.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2022/2472 paredz visus iespējamos pasākumus, kurus var atbalstīt ar Eiropas lauksaimniecības fondu lauku attīstībai starpniecību. Dalībvalstis atkarībā no to ekonomiskās un sociālās situācijas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2022/2472 dalībvalstīm nosaka rīcības brīvību regulas ieviešanā, tomēr izvēlētajiem nosacījumiem ir jābūt aprakstītiem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Pārtikas uzņēmumu federācija, Vietējās rīcības grupas, „Latvijas Piensaimnieku Centrālā Savienība”, "Biedrība „Latvijas Jauno zemnieku klubs", " Latvijas Bioloģiskās lauksaimniecības asociācija", Biedrība „Latvijas Zemnieku federācija”, Biedrība “Lopkopības saimniecību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netieši sekmēs vietējās teritorijas attīstību,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24-TA-1734</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24-TA-1734</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anotācija_(ex_ante)_24-TA-1734.docx</dc:title>
</cp:coreProperties>
</file>

<file path=docProps/custom.xml><?xml version="1.0" encoding="utf-8"?>
<Properties xmlns="http://schemas.openxmlformats.org/officeDocument/2006/custom-properties" xmlns:vt="http://schemas.openxmlformats.org/officeDocument/2006/docPropsVTypes"/>
</file>