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 (turpmāk – noteikumu projekts) ir izstrādāti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Regulu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Iekšējās drošības fonda, Patvēruma, migrācijas un integrācijas fonda un Finansiāla atbalsta instrumenta robežu pārvaldībai un vīzu politikai 2021.–2027. gada plānošanas perioda vadības likuma (turpmāk – likums) 6.pantu un 13. panta 1., 2., 3., 4., 5., 6., 7., 8., 9., 10., 11., 12., 14. un 15. punktu (izsludināts 2022.gada 15.jūnijā).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2022. gada 18. oktobra noteikumos Nr. 651 “Iekšējās drošības fonda, Patvēruma, migrācijas un integrācijas fonda un Finansiāla atbalsta instrumenta robežu pārvaldībai un vīzu politikai 2021.–2027. gada plānošanas perioda īstenošanas vadības kārtība” (turpmāk – MK noteikumi Nr.651) jautājumu, kas saistīts ar nacionālo programmu sagatavošanu, vienotās likmes piemērošanas principiem, kā arī elektroniskās datu apmaiņas informācijas sistēmas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 janvāri Latvijas Republikā un pārējās Eiropas Savienības dalībvalstīs ir sācies Iekšējās drošības fonda, Patvēruma migrācijas un integrācijas fonda un Finansiāla atbalsta instrumenta robežu pārvaldībai un vīzu politikai (turpmāk – fondi) 2021.-2027. gada plānošanas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Nr. 651 64.1 punktā, 64.</w:t>
      </w:r>
      <w:r w:rsidR="00000000" w:rsidRPr="00000000" w:rsidDel="00000000">
        <w:rPr>
          <w:vertAlign w:val="superscript"/>
          <w:rtl w:val="0"/>
        </w:rPr>
        <w:t xml:space="preserve">2</w:t>
      </w:r>
      <w:r w:rsidR="00000000" w:rsidRPr="00000000" w:rsidDel="00000000">
        <w:rPr>
          <w:rtl w:val="0"/>
        </w:rPr>
        <w:t xml:space="preserve">2. un 64.</w:t>
      </w:r>
      <w:r w:rsidR="00000000" w:rsidRPr="00000000" w:rsidDel="00000000">
        <w:rPr>
          <w:vertAlign w:val="superscript"/>
          <w:rtl w:val="0"/>
        </w:rPr>
        <w:t xml:space="preserve">2</w:t>
      </w:r>
      <w:r w:rsidR="00000000" w:rsidRPr="00000000" w:rsidDel="00000000">
        <w:rPr>
          <w:rtl w:val="0"/>
        </w:rPr>
        <w:t xml:space="preserve">3., 78.3. un 78.4. apakšpunktā ir precizētas regulas atsauces, norādot atsauces uz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651 31.punkts ir tehniski precizēts saskaņā ar Ministru kabineta 2024. gada 30 aprīļa noteikumu Nr. 264 "Grozījumi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 anotācijā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vienkāršotās izmaksas tiek piemērotas tā, kā to nosaka regula Nr.2021/1060, pēc Finanšu ministrijas priekšlikuma MK noteikumu Nr.651 61.punktā ir iekļauta atsauce uz regulas Nr.2021/1060 53. un 94. pantu un attiecīgi 61.punkta apakšpunktos lietota regulā Nr.2021/1060 noteiktā terminoloģija.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Nr.2021/1060 40. panta 2. punkta d apakšpunkts nosaka, ka uzraudzības komiteja apstiprina jebkuru vadošās iestādes priekšlikumu grozīt fonda nacionālo programmu, tomēr grozījumus fonda nacionālajā programmā var ierosināt arī Eiropas Komisija. Tas notiek, ja vadošā iestāde piesakās dalībai kādā no Eiropas Komisijas izsludinātajiem konkrētās darbības projektu iesniegumu konkursiem un to rezultātā iegūst papildu finansējumu fonda programmai. Informācija par Eiropas Komisijas apstiprināto konkrētās darbības projektu un tā finansējumu ir jāiekļauj fonda nacionālajā programmā, saskaņā ar Regulas Nr.2021/1060 22. panta 4. punkta d apakšpunktu - nacionālajā programmā attiecīgā gadījumā tiek sniegta šāda informācija - "darbības atbalsta pamatojums, konkrētas darbības, ārkārtas palīdzība un darbības, kas norādītas AMIF regulas 19. un 20. pantā". Šādā gadījumā vadošā iestāde iekļauj iepriekšminēto informāciju nacionālajā programmā un uzreiz to iesniedz apstiprināšanai Eiropas Komisijai caur Eiropas Komisijas elektronisko datu apmaiņas sistēmu SFC2021, nesniedzot grozījumus nacionālajā programmā apstiprināšanai uzraudzības komitejā. Šādā veidā arī tiek mazināts administratīvais slogs uzraudzības komitejai.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grozījumus fonda nacionālajā programmā ierosina Eiropas Komisija, vadošā iestāde tos apstiprināšanai uzraudzības komitejai pirms iesniegšanas Eiropas Komisijai nesniedz.".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izstrādājot Ministru kabineta 2024. gada 30. aprīļa noteikumus Nr.264 "Grozījumi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 bija paredzējusi uzsākt lietot elektronisko datu apmaiņas informācijas sistēmu fondu īstenošanā sākot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21. novembra noteikumu Nr.675 "Mērķa finansējuma izlietojuma pārvaldības platformas noteikumi" 5. punktu, elektronisko datu apmaiņas informācijas sistēmas pārzinis ir Iekšlietu ministrijas Informācijas centrs. Ņemot vērā to, ka Iekšlietu ministrijas Informācijas centrs elektronisko datu apmaiņas informācijas sistēmu ir pārņēmis tikai 2024. gada jūlijā, kā arī pārvērtējot nepieciešamo darba un laika apjomu elektronisko datu apmaiņas informācijas sistēmas uzlabošanai, pielāgošanai Iekšlietu ministrijas vajadzībām, testēšanas un ieviešanai produkcijā nodrošināšanai, ir skaidrs, ka ir nepieciešams pagarinājums sistēmas lietošanas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plānots elektronisko datu apmaiņas informācijas sistēmu uzsākt izmantot fondu īstenošanai ar 2026. gada 1. janvāri.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XXII. nodaļu "Noslēguma jautājums"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"XXII. Noslēguma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Elektronisko datu apmaiņas sistēmu uzsāk izmantot no 2026.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Nr.651 58. punktā ir paredzēts, ka projekta vadības un administrēšanas izmaksas nedrīkst pārsniegt 20 % no projekta tiešajām attiecināmajām izmaksām un projekta vadības un administrēšanas izmaksās tiek ieskaitīta netiešo attiecināmo izmaksu summa (līdz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tika veikts fondu īstenošanas starpposma izvērtējums un starpposma izvērtējuma ziņojumā tika secināts, ka noteiktā likme līdz 20% no projekta tiešajām attiecināmajām izmaksām ieskaitot līdz 7% netiešās izmaksas, nav pietiekama, lai segtu visas projektā iesaistītā administratīvā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izteikts ieteikums vadošajai iestādei pārskatīt un pārstrukturēt vienotās likmes piemērošanas principus, nodalot personāla izmaksu likmi no netiešo izmaksu likmes. Šāda prakse tiek īstenota arī Kohēzijas fondu ietvaros un ir noteikta Vadlīnijās par vienkāršoto izmaksu izmantošanas iespējām un to piemērošana Eiropas Savienības kohēzijas politikas programmas 2021.–2027.gadam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administrēšanas izmaksas līdz 20% nav paredzētas kā vienotās likmes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iepriekšminēto, vadošā iestāde ir sagatavojusi grozījumu MK noteikumu Nr.651 58.punktā.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58.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Projekta vadības un administrēšanas izmaksas nedrīkst pārsniegt 20 % no projekta tiešajām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 publiskās pārvaldes tiesiskās attiecības un attiecībā pret privāto sektoru izmaiņas neparedz.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jaunu institūciju izveidi, esošu institūciju likvidāciju vai reorganizāciju.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24-TA-2716</w:t>
    </w:r>
    <w:r>
      <w:br/>
    </w:r>
    <w:r w:rsidR="00000000" w:rsidRPr="00000000" w:rsidDel="00000000">
      <w:rPr>
        <w:rtl w:val="0"/>
      </w:rPr>
      <w:t xml:space="preserve">Izdrukāts 29.07.2026. 22.28 - 3.0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24-TA-2716</w:t>
    </w:r>
    <w:r>
      <w:br/>
    </w:r>
    <w:r w:rsidR="00000000" w:rsidRPr="00000000" w:rsidDel="00000000">
      <w:rPr>
        <w:rtl w:val="0"/>
      </w:rPr>
      <w:t xml:space="preserve">Izdrukāts 29.07.2026. 22.28 - 3.0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anotācija_(ex_ante)_24-TA-2716.docx</dc:title>
</cp:coreProperties>
</file>

<file path=docProps/custom.xml><?xml version="1.0" encoding="utf-8"?>
<Properties xmlns="http://schemas.openxmlformats.org/officeDocument/2006/custom-properties" xmlns:vt="http://schemas.openxmlformats.org/officeDocument/2006/docPropsVTypes"/>
</file>