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2023. gada 1. jūlija līdz 30. septembrim"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pēdējā gada laikā,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1.oktobra līdz 31.decembrim - 1,09;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no 1.janvāra līdz 31.martam –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2023.gada 30.jūnijam jāpieņem Ministru kabineta rīkojums, kurā nosaka proporciju, kādā īpašuma kompensācijas sertifikātu vietā par maksāšanas līdzekli var izmantot privatizācijas sertifikātus laikposmā no 2023.gada 1.jūlija līdz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2023.gada 1.jūnijā noteiktā īpašuma kompensācijas sertifikātu un privatizācijas sertifikātu iepriekšējo 12 mēnešu vidējā cenu attiecība ir 1,07.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2023.gada 1.jūlija līdz 30.septmebrim proporcija, kādā īpašuma kompensācijas sertifikātu vietā par maksāšanas līdzekli var izmantot privatizācijas sertifikātus, ir 1,07.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23-TA-1435</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23-TA-1435</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anotācija_(ex_ante)_23-TA-1435.docx</dc:title>
</cp:coreProperties>
</file>

<file path=docProps/custom.xml><?xml version="1.0" encoding="utf-8"?>
<Properties xmlns="http://schemas.openxmlformats.org/officeDocument/2006/custom-properties" xmlns:vt="http://schemas.openxmlformats.org/officeDocument/2006/docPropsVTypes"/>
</file>