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19. decembra noteikumos Nr. 765 "Kārtība, kādā valsts fondēto pensiju shēmas līdzekļu pārvaldītājs aprēķina maksājumu par ieguldījumu plāna pārvaldi, un kārtība, kādā tiek veikta minētā maksājuma uzskaite un ieturēšana""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2017. gada 19. decembra noteikumos Nr. 765 "Kārtība, kādā valsts fondēto pensiju shēmas līdzekļu pārvaldītājs aprēķina maksājumu par ieguldījumu plāna pārvaldi, un kārtība, kādā tiek veikta minētā maksājuma uzskaite un ieturēšana"" (turpmāk - Noteikumu projekts) veikti, pamatojoties uz detalizētu Valsts fondēto pensiju shēmas (VFPS) ieguldījumu plānu ieguldījumu portfeļu struktūras analīzi un gūtajām atziņām par līdzekļu ģeogrāfisko izvietojumu, kā arī, ņemot vērā konstatētās neviennozīmīgi piemērojamās normas Ministru kabineta 2017. gada 19. decembra noteikumos Nr. 765 "Kārtība, kādā valsts fondēto pensiju shēmas līdzekļu pārvaldītājs aprēķina maksājumu par ieguldījumu plāna pārvaldi, un kārtība, kādā tiek veikta minētā maksājuma uzskaite un ieturēšana" (turpmāk – Noteikumi) nosacījumos attiecībā uzF pārvaldnieka tiesībām veikt mainīgās komisijas maksas aprēķinu un izmaksu.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mainīgās komisijas aprēķināšanas metodi, pielāgojot to faktiskajai ieguldījumu pārvaldības situācijai un līdzekļu pārvaldītāju īstenotajai ieguldījumu politikai, nodrošinot taisnīgu un saprātīgu līdzsvaru starp VFPS dalībnieku interesi veidot pēc iespējas lielākus uzkrājumus un VPFS līdzekļu pārvaldītāju interesi par savu darbu un iniciatīvu, kā arī atbildību saņemt adekvātu atlīdzību.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ļautu tirgus dalībniekiem ieplānot un iekļaut nepieciešamos resursus iekšējo procesu un sistēmu izmaiņām.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VFPS Latvijā ir veidota ar mērķi uzlabot sabiedrības labklājību pensijas vecumā, paredzot, ka daļa no VFPS dalībnieka valsts sociālās apdrošināšanas obligātajām iemaksām tiks ieguldītas finanšu tirgos saskaņā ar Latvijā reģistrēto VFPS shēmas līdzekļu pārvaldītāju piedāvātajiem ieguldījumu plāniem, tajos noteiktajām ieguldījumu politikām un tām atbilstoši paredzētiem ieguldījumu veidiem.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daudziem citiem ieguldījumu veidiem VFPS ieguldījumu plāni ir ilgtermiņa ieguldījumi. Saskaņā ar Valsts sociālās apdrošināšanas aģentūras statistiku (https://www.vsaa.gov.lv/lv/shemas-dalibnieku-skaita-sadalijums-pec-vecuma-dzimuma-un-lidzdalibas-veida) VFPS dalībnieka vidējais vecums 2024. gada martā bija 42 gadi, tas nozīmē, ka pensijas vecuma uzkrājums veidojams 20 un vairāk gadu garumā. No tā izriet, ka ieguldījumu plānos paredzēto instrumentu klāsts arī būtu jāizvēlas starp iespējami garāka termiņa instrumentiem, jo iespējas nopelnīt garākā laika posmā ir daudz lielākas, nekā ar ieguldījumiem instrumentos ar vidēju un īsu termiņu (piemēram, naudas tirgus instrumentos vai depozītos).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fondēto pensiju likuma (turpmāk – Likums) 11.pants nosaka, ka VFPS līdzekļu pārvaldītājam maksājumu par ieguldījumu plāna pārvaldi veido maksājuma pastāvīgā daļa un maksājuma mainīgā daļa. Likuma 11. panta 5.</w:t>
      </w:r>
      <w:r w:rsidR="00000000" w:rsidRPr="00000000" w:rsidDel="00000000">
        <w:rPr>
          <w:vertAlign w:val="superscript"/>
          <w:rtl w:val="0"/>
        </w:rPr>
        <w:t xml:space="preserve">1</w:t>
      </w:r>
      <w:r w:rsidR="00000000" w:rsidRPr="00000000" w:rsidDel="00000000">
        <w:rPr>
          <w:rtl w:val="0"/>
        </w:rPr>
        <w:t xml:space="preserve"> daļas 2. punkts nosaka, ka maksājuma mainīgā daļa ir atlīdzība fondēto pensiju shēmas līdzekļu pārvaldītājam par ieguldījumu plāna darbības rezultātu, un tās apmērs ir atkarīgs no pensiju plāna ienesīguma pārsnieguma virs atskaites indeksa (standarts jeb etalons), kurš tiek noteikts kā parāda vērtspapīru un kapitāla vērtspapīru indeksu kombinācija.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objektivitāti VFPS ieguldījumu plānu pārvaldītāju darbības rezultātu novērtējumos;  attiecīgi aprēķinātu maksājuma mainīgo daļu (pārvaldītāja atalgojumu par noteiktā standarta pārsniegumu) un vienlaicīgi saglabātu pārvaldītāju motivāciju (ņemot vērā faktu, ka mainīgā komisija ir pasaules valstu praksē plaši atzīta kā viens no efektīvākajiem līdzekļu pārvaldnieku motivācijas rīkiem),  veicot pensiju līdzekļu ieguldījumus, ir nepieciešams noteikt tādus etalonus, kuros būtu iekļauti ne tikai kapitāla un parāda vērtspapīru tirgi, bet kuri būtu piemēroti arī katra konkrētā ieguldījumu plāna stratēģijai un ieguldījumu politikai.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nozarē starptautiski atzītai praksei par efektīvu etalonu tiek uzskatīts indekss, kas ietver pēc iespējas vairāk ieguldījumu portfelim (ar kuru salīdzina) līdzvērtīgu vērtspapīru 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Tiem ieguldījumu plānu rezultātiem, kuros līdzekļi netiek ieguldīti kapitāla vērtspapīros un tiem riska ziņā pielīdzināmos finanšu instrumentos, par etalonu darbības rezultātu novērtēšanai būtu samērīgi piemērot plašu parāda vērtspapīru indeksu, kas atspoguļo ienesīgumu fiksētā ienākuma vērtspapīru tirgos. Savukārt, ieguldījuma plāniem, kuru prospekti paredz ieguldījumus kapitāla vērtspapīros un tiem riska ziņā pielīdzināmos finanšu instrumentos, etalons būtu jānosaka, parāda vērtspapīru indeksu papildinot ar kapitāla vērtspapīru tirgus indeksu tiešā atkarībā no ieguldījumu plānos paredzētā kapitāla vērtspapīru īpatsvara.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piemērotiem un pasaules finanšu tirgos atzītiem atskaites indeksiem tiek uzskatīti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Parāda vērtspapīriem - Bloomberg Barclays Euro Aggregate Total Return Euro Unhedged. Šis indekss kā viens no atbilstošākajiem investīciju reitinga obligāciju tirgus indeksiem, ietverot plašu līdzvērtīgu vērtspapīru (vairāk kā 2300 vērtspapīru) klāstu, ir noteikts kā etalons ieguldījumu plānu darbības rezultātu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Kapitāla vērtspapīriem (t.sk. akcijām) - STOXX Europe 600. Šis indekss efektīvi kalpo par etalonu, jo tas ir plašs Eiropas akciju tirgus indekss, kas ietver 600 ģeogrāfiskās Eiropas uzņēmumu akcijas ar dažādu kapitalizācijas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Maksājuma mainīgās daļas aprēķinu veic divos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tiek noteikts maksājuma mainīgās daļas apmērs aprēķina dienā, kas ir atkarīgs no ieguldījuma plāna attiecīgās dienas virspeļņas salīdzinājumā ar atskaites indeksu. To uzkrāj, summējot aprēķināto maksājuma mainīgo daļu par katru aprēķina dienu visa gada garumā, kā rezultātā iegūst kopējo maksājuma mainīgās daļas apmēru par kārtējo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ieguldījumu plāna finanšu pārskatos uzskaitīto maksājuma mainīgo daļu ietur par kārtējo gadu šī paša gada pēdējā aprēķina dienā pie nosacījuma, ka plāna daļas vērtība gada pēdējā aprēķina dienā ir augstāka par daļas vērtību katra gada pēdējā aprēķina dienā iepriekšējo septiņu gadu periodā. Šāds salīdzinājums ar daļas vērtību gada pēdējās aprēķina dienās iepriekšējo septiņu gadu periodā tiek veikts, lai daļas vērtības svārstību rezultātā maksājuma mainīgā daļa netiktu izmaksāta atkārtoti par vienu un to pašu daļas vērtības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arī pārejas noteikumus, nosakot, ka 2018., 2019., 2020., 2021., 2022., 2023., 2024. un 2025. gadā par perioda sākuma dienu aprēķinos, kas veikti par astoņiem gadiem, uzskata 2017.gada 31. decembri. Visiem ieguldījumu plāniem par 2017.gada pēdējo aprēķina dienu nosaka 2017.gada 31.decembri. Savukārt, ieguldījumu plāniem, kas uzsāk darbību pēc šo noteikumu spēkā stāšanās, par perioda sākuma dienu aprēķinos, kas veikti par šo ieguldījumu plānu pirmo astoņu gadu periodu, kā arī aprēķinos, kas veikti šo ieguldījumu plānu darbības pirmajā kalendārajā gadā par periodu no gada sākuma, uzskata šo plānu pirmo aprēķina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Mainīgās daļas aprēķina mehānisma mērķis ir panākt pārvaldītāja papildus atlīdzības izmaksas atbilstību ieguldījumu pārvaldīšanas rezultātiem, vienlaicīgi saglabājot pārvaldītāju motivāciju sasniegt arvien augstāku iespējamo valsts fondēto pensiju ieguldījuma plānu ienesīgumu visā darbības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Atskaites indeksa noteikšanas svarīgākais priekšnosacījums ir izvēlētā atskaites indeksa spēja objektīvi atspoguļot visas ieguldījumu portfelī, šajā gadījumā - VFPS ieguldījumu portfeļa struktūrā, ietilpstošās vērtspapīru klases, dzēšanas periodus (parāda vērtspapīriem) un ģeogrāfisko ekspozīciju.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iepriekš, pašreizējā Noteikumu redakcijā par akciju atskaites indeksu ir noteikts Europe Stoxx 600, kura tvērumā ir tikai Eiropas vērtspapīri, kas neatbilst reālai ieguldījumu plānu portfeļa ģeogrāfiskajai ekspozīcijai: uz 31.12.2023. VFPS ieguldījumu ģeogrāfiskā ekspozīcija bija koncentrēta šādos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ASV ~55%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 (izņemot Baltijas valstis)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valstis (bez Latvijas) ~10%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Europe Stoxx 600 (iekļaujot tikai Eiropas uzņēmumu vērtspapīrus) objektīvi neatspoguļo faktisko VFPS ieguldījumu ģeogrāfisko ekspozīciju, jo puse no ieguldījumiem ir veikti ASV regulētajā finanšu tirgū kotētajos vērtspapīros.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Ienesīgumu radītāju salīdzinājums starp dažādiem reģioniem (uz 31.12.2023)*</w:t>
      </w:r>
    </w:p>
    <w:tbl>
      <w:tblPr>
        <w:tblStyle w:val="DefaultTable"/>
        <w:bidiVisual w:val="0"/>
        <w:tblW w:w="1183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869"/>
        <w:gridCol w:w="2019"/>
        <w:gridCol w:w="2194"/>
        <w:gridCol w:w="3151"/>
        <w:tblGridChange w:id="0">
          <w:tblGrid>
            <w:gridCol w:w="3869"/>
            <w:gridCol w:w="2019"/>
            <w:gridCol w:w="2194"/>
            <w:gridCol w:w="315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ASV akciju indekss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akciju indekss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Eirozonas valstis akciju indekss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Vidējais svērtais gada ienesīgums – 3 gadu periodā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Vidējais svērtais gada ienesīgums – 5 gadu periodā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Vidējais svērtais gada ienesīgums – 10 gadu periodā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*aprēķini ir balstīti uz reprezentatīviem attiecīga reģiona akciju indeksiem; aprēķinos ir izmantotas vērtības ar dividendēm.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redzams no tabulas, salīdzinājumā ar Eiropas regulētajos tirgos kotētajiem vērtspapīriem ASV regulētajā tirgū kotētie vērtspapīri vidēji bija sasnieguši augstākus ienesīguma radītājus. No tā izriet secinājums, ka pašlaik spēkā esošā ar Noteikumiem noteiktā atskaites indeksa Europe Stoxx 600 rādītājs bija zemāks par tāda indeksa rādītāju, kas atspoguļo ieguldījumu ienesīguma līmeni plašākā (ārpus Eiropas) ģeogrāfiskā diapazonā, līdz ar to būtu atbilstošāks attiecībā uz VFPS ieguldījumu plāniem, to ieguldījumu portfeļa faktisko ģeogrāfisko struktūru un sasniegtajiem rezultātiem un nodrošinātu objektīvāku pamatu maksājuma mainīgās daļas aprēķiniem.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panāktu objektīvu akciju atskaites indeksā iekļauto vērtspapīru un reģionu reprezentāciju, kas būtu atbilstoša visiem VFPS ieguldījumiem, tika organizētas kopīgas tikšanās ar Latvijas Banku, Latvijas Finanšu nozares asociāciju un VFPS līdzekļu pārvaldītājiem, aktīvi apsprieda šo jautājumu un meklēja atbilstošu risinājumu. Šo pārrunu rezultātā tika panākta vienošanās mainīgās maksas aprēķināšanas metodoloģijā iekļaut papildus akciju atskaites indeksu MSCI ACWI EUR un, veicot turpmākos aprēķinus, abu akciju atskaites indeksu vērtības (jauno MSCI ACWI EUR un eksistējošo Europe Stoxx 600) apvienot katram no tiem piešķirot svaru 50% t.i. uz pusēm no katra akciju indeksa vērtības. Tādā veidā tiek nodrošināts līdzsvars starp mainīgās maksājuma daļas aprēķinam piemērojamā atskaites indeksa un reālo VFPS ieguldījumu ģeogrāfisko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 norādītā tabula parāda, kādus ģeogrāfiskos reģionus ietver katrs no minētajiem atskaites indeksiem un kāds ir saliktais indekss, apvienojot šos indeksus ar 50% 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Reģionu īpatsvars akciju indeksos*</w:t>
      </w:r>
    </w:p>
    <w:tbl>
      <w:tblPr>
        <w:tblStyle w:val="DefaultTable"/>
        <w:bidiVisual w:val="0"/>
        <w:tblW w:w="1018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798"/>
        <w:gridCol w:w="6086"/>
        <w:gridCol w:w="6086"/>
        <w:gridCol w:w="6086"/>
        <w:tblGridChange w:id="0">
          <w:tblGrid>
            <w:gridCol w:w="3798"/>
            <w:gridCol w:w="6086"/>
            <w:gridCol w:w="6086"/>
            <w:gridCol w:w="608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Reģioni</w:t>
            </w:r>
          </w:p>
        </w:tc>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Atskaites indeksi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Stoxx600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MSCI ACWI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Saliktais indekss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ASV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valstis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*īpatsvara vērtības ir aprēķinātas uz 31.12.2023. un ir noapaļotas līdz veselai daļai; Eiropa ir ES, Apvienotā Karaliste un EEZ valstis.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redzams no tabulas, saliktā indeksa noteikšana būtiski palielina atskaites indeksa atbilstību VFPS ieguldījumu ekspozīcijai ģeogrāfiskā sadalījuma ziņā. Ņemot vērā to, ka saliktā indeksa ieviešana nemaina mainīgās maksājuma daļas aprēķināšanas būtību, piedāvātais risinājums tiek uzskatīts par piemērotu.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Atskaites indeksa pieauguma (AIP) aprēķināšanai optimāli būtu ieviest starpposmu, kura ietvaros tiks aprēķināta saliktā akciju indeksa vērtība perioda sākuma dienai un aprēķina dienai. Abas vērtības tiks izmantotas, lai aprēķinātu saliktā atskaites indeksa izmaiņas apmēru, kas rezultātā tiks izmantota atskaites indeksa pieauguma (AIP)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abu minēto indeksu precīzu un nepārprotamu iekļaušanu aprēķināšanas metodoloģijā, Noteikumi papildināti ar jauniem terminiem un to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akciju atskaites indeksa komponente (AAIK) – indekss, ko izmanto saliktā akciju atskaites indeksa (SAAI) aprēķinam). Ar šo terminu formulā apzīmē abus iepriekš minētus akciju indeksus (Europe Stoxx 600 un MSCI ACWI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saliktais akciju atskaites indekss (SAAI) – izvēlēto akciju atskaites indeksu komponenšu (AAIK1 un AAIK2) summa, ievērojot iepriekš pieminēto proporciju.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akciju atskaites indeksa komponentes proporcija (P</w:t>
      </w:r>
      <w:r w:rsidR="00000000" w:rsidRPr="00000000" w:rsidDel="00000000">
        <w:rPr>
          <w:vertAlign w:val="subscript"/>
          <w:rtl w:val="0"/>
        </w:rPr>
        <w:t xml:space="preserve">AAIK</w:t>
      </w:r>
      <w:r w:rsidR="00000000" w:rsidRPr="00000000" w:rsidDel="00000000">
        <w:rPr>
          <w:rtl w:val="0"/>
        </w:rPr>
        <w:t xml:space="preserve">) – koeficients, kas nosaka katra izvēlētā akciju indeksa īpatsvaru aprēķinot SAAI.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Noteikumiem akciju indeksa daļa, kas tiek noteikta atbilstoši ieguldījumu plāna prospektā paredzētajam maksimālajam ieguldījumu īpatsvaram kapitāla vērtspapīros, alternatīvo ieguldījumu fondos vai tādos ieguldījumu fondos, kuri var veikt ieguldījumus kapitāla vērtspapīros vai citos riska ziņā tiem pielīdzināmos finanšu instrumentos, un tiek izmantota aprēķinā ir apzīmēta kā KAP (turpmāk – KAP).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 ir noteikts dažāda veida VFPS ieguldījumu plāniem ar atšķirīgām ieguldījumu stratēģijām.</w:t>
      </w:r>
    </w:p>
    <w:tbl>
      <w:tblPr>
        <w:tblStyle w:val="DefaultTable"/>
        <w:bidiVisual w:val="0"/>
        <w:tblW w:w="1087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829"/>
        <w:gridCol w:w="3099"/>
        <w:gridCol w:w="3496"/>
        <w:tblGridChange w:id="0">
          <w:tblGrid>
            <w:gridCol w:w="3829"/>
            <w:gridCol w:w="3099"/>
            <w:gridCol w:w="349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Maksimālais akciju īpatsvars ieguldījumu plānā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Aktuālais KAP līmenis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Delta jeb atskaites indeksa rezultāta "samazinājums"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(ieskaitot)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0.72 (72%)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 (ieskaitot)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0.54 (54%)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(ieskaitot)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0.36 (36%)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(ieskaitot)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0.18 (18%)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 (ieskaitot)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 (0%)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ir redzams, ka katra konkrētā kapitāla vērtspapīru īpatsvara diapazona (0%-25%; 26%-50%; 51%-75%; 76%-100%) ietvaros tiek pielietots viens un tas pats KAP (apzīmēts tabulā kā “aktuālais KAP līmenis”). Tā, piemēram, VFPS ieguldījumu plāns ar maksimālo noteikto kapitāla vērtspapīru īpatsvaru 76% apmērā ietilpst vienā kategorijā ar VFPS ieguldījumu plānu ar kapitāla vērtspapīru īpatsvaru 98%, kaut arī /šiem ieguldījumu plāniem ir pilnībā atšķirīgs kapitāla un parāda vērtspapīru īpatsvars portfelī un dažādas ieguldījumu stratēģijas. Saskaņā ar spēkā esošiem Noteikumiem abiem šādiem ieguldījumu plāniem pielietojamā akciju indeksa daļa (KAP) ir 0.72, bet efektīvais kapitāla vērtspapīru īpatsvars pēc KAP pielietošanas, kuru izmanto, lai aprēķinātu maksājuma mainīgo daļu (attiecīgi 55% un 70%), ir atšķirīgs.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Otrs aspekts ir noteiktais KAP apmērs, kas kalpo kā koeficients, kas samazina maksimālo noteikto kapitāla vērtspapīru īpatsvaru, no kura tiek aprēķināta maksājuma mainīgā daļa. Samazinot maksimāli noteikto kapitāla vērtspapīru īpatsvaru tiek samazināts etalons, kas pārvaldītājam būtu jāsasniedz, lai iegūtu tiesību uz mainīgā maksājuma daļas izmaksu. Samazinātā rezultāta sasniegšanas nosacījumi ir vieglāk izpildāmi; varbūtība saņemt maksājuma mainīgo daļu ir lielāka. Šāds apsvērums pēc būtības neatbilst starptautiski atzītai finanšu nozares praksei attiecībā uz pārvaldītāja atalgošanu par sasniegto ieguldījumu virsrezultātu.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Kopsavilkumā jāuzsver, ka, lai aprēķinātu maksājuma mainīgo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dažāda vērtspapīru īpatsvara ieguldījumu plāniem ar atšķirīgām ieguldījumu stratēģijām un riska līmeni tiek izmantots viens un tas pats KAP līmenis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piemērots tāds noteiktais KAP apmērs, kas pārvaldītājam būtiski atvieglo nosacījumus maksājuma mainīgās daļas izmaksas tiesības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nepieciešamība pārskatīt un līdzsvarot atskaites indeksa (KAP) atbilstību katra ieguldījumu plāna kapitāla vērtspapīru īpatsvaram un ieguldīšanas stratēģijai, kā arī apmēru, maksimāli pietuvinot to noteiktajam maksimālajam kapitāla vērtspapīru īpatsvaram ieguldījumu portfelī.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līdzsvarot KAP un VFPS ieguldījumu plānu faktiskajai vērtspapīru ekspozīcijai, Noteikumos jāievieš detalizētāks KAP, kuru nosaka, pielāgojot to katra VFPS ieguldījumu plāna prospektā noteiktajam maksimālajam kapitāla vērtspapīru īpatsvaram.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to nodrošinātu, Noteikumi ir papildināmi ar jaunu terminu “maksimāli noteiktais kapitāla vērtspapīru īpatsvars jeb MKVI”.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KAP vērtību katram VFPS ieguldījumu plānam, Noteikumos ietverta jauna aprēķina formula, kas balstīta uz maksimālo noteikta kapitāla vērtspapīru īpatsvaru un no kura atņemti 10%. Tā rezultātā tiek iegūts KAP, kas ir tieši atkarīgs no katra VFPS ieguldījumu plāna stratēģijas un ir noteikts katram ieguldījumu plānam noteiktā maksimālā kapitāla vērtspapīru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plāna finanšu pārskatos uzskaitīto maksājuma mainīgo daļu ietur par kārtējo gadu šī gada pēdējā aprēķina dienā, pie nosacījuma, ka plāna daļas vērtība gada pēdējā aprēķina dienā ir augstāka par daļas vērtību gada pēdējās aprēķina dienās iepriekšējo septiņu gadu periodā. Noteikumu aktuālā redakcija nepamatoti rada interpretācijas iespēju, kas pieļauj, ka pārvaldītāji varētu šo nosacījumu piemērot par gada pēdējās aprēķina dienu septiņus gadus atpakaļ. Šī iemesla dēļ  jāveic redakcionāls precizējums, papildinot to ar nepārprotamu norādi par “katra” gada pēdējo aprēķina dienu iepriekšējo septiņu gadu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15.4.apakšpunkts, nosakot, ka ieguldījumu plāna finanšu pārskatos uzskaitīto maksājuma mainīgo daļu ietur par kārtējo gadu šī gada pēdējā aprēķina dienā, pie nosacījuma, ka plāna daļas vērtība gada pēdējā aprēķina dienā ir augstāka par daļas vērtību katra gada pēdējās aprēķina dienās iepriekšējo septiņu gadu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risinājums ir ieviest indeksu atsevišķiem instrumentu veidiem, piemēram, ieguldījumiem alternatīvajos ieguldījumu fondos, vai ieguldījumiem Baltijas reģionā. Ar šo risinājumu būtu iespēja padarīt ieguldījumu sasniegumu mērīšanas granularitāti un tiešu attiecināmību uz Baltijas reģionu. Uz doto brīdi šādu indeksu 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Ieguvumi, kas sagaidāmi no šo Noteikumu projekta ieviešanas, tieši attiecas uz pensiju shēmas dalībniekiem un to vecumdienu uzkrājumiem. Ieviešot pamatotākus nosacījumus mainīgās maksas daļas aprēķinos, pārvaldītāji tiks taisnīgi atalgoti par virsrezultāta sasniegšanu, bet dalībnieki iegūs kapitāla pieaugumu no pārvaldītāja gūtajiem panākumiem – paaugstināta ienesīguma - salīdzinājumā ar iepriekšējiem periodiem. Saņemot mainīgās maksas daļu, kas aprēķināta, pamatojoties uz atvieglotiem nosacījumiem, nepamatoti samazinās ieguldījumu plānu dalībnieku uzkrājums. Noteikumu projekta ieviešana, iespējams, ir saistīta ar izmaiņām pārvaldītāju IT sistēmās, kas uzskatāmi par vienreizējiem izdevumiem.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regulārās neklātienes uzraudzības pārbaudes, Latvijas Banka analizē no tirgus dalībniekiem saņemtos uzraudzības pārskatus, t.sk. regulāri iesniegtos pārskatus un papildus pieprasītos datus, kas atspoguļo līdzekļu pārvaldītāju atlīdzības. Pamatojoties uz gūtām atziņām, Latvijas Banka secināja, ka, neskatoties uz vienotiem MK Noteikumiem, aprēķinu pieejas ir atšķirīgas. Pēc iemeslu izpētes tika konstatēti neviennozīmīgi interpretējami nosacījumi MK Noteikumu redakcijā, kuru rezultātā šīs pieejas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Latvijas Banka pētīja ieguldījumu plānos pārvaldīto līdzekļu galējās ieguldījumu valstis (pēc t.s. look through principa) un secināja, ka ieguldījumu portfeļu struktūra būtiski atšķiras no Noteikumos noteikto atskaites indeksu klāstā iekļauto vērtspapīru ģeogrāfiskās struktūras (skat. 1. attēlu), kā rezultātā tika izstrādāti Noteikumu priekšlikumi ar mērķi tos aktualizēt un pielāgot ģeogrāfiskajai ieguldījumu struktūrai pensiju ieguldījumu plānos.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pētot mainīgās komisijas aprēķinu un izmaksu aspektus finanšu tirgus praksē, t.sk. akadēmiskajā vidē un Eiropas uzraudzības iestāžu ieteikumu klāstā (skat. esma34-39-992_guidelines_on_performance_fees_en.pdf (europa.eu)), Latvijas Banka secināja, ka Noteikumos noteiktā aprēķinu metodoloģija ir unikāla un nav tieši salīdzināma ar pastāvošo pasaules finanšu tirgus mainīgās maksas (performance fee) aprēķināšanas praksi attiecībā uz ieguldījumu fondiem. No tā izriet secinājums, ka arī pieejai ir jābūt individuālai, tomēr, izvērtējot ar KAP apmēru saistītos aspektus (skat. augstāk), Latvijas Banka secināja, ka principi, kas iekļauti aktuālās Noteikumu redakcijas KAP apmērā un tā attiecināšanā uz ieguldījumu plāniem, neatbilst gādīga un rūpīga saimnieka principam, saskaņā ar kuru pārvaldītājam jārīkojas tikai un vienīgi dalībnieka interesēs, saņemot par to taisnīgu atalgojumu, kā arī aktuālajai situācijai attiecībā uz atšķirīgām ieguldījumu stratēģijām.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pārvaldītājs ir sasniedzis noteiktu virsrezultātu, viņam par to pienākas papildus atalgojums (mainīgā maksājuma daļa), kas pilnībā atbilst starptautiski atzītai praksei attiecībā uz pārvaldītāja atalgojumu par sasniegto līdzekļu ieguldīšanas virsrezultātu. Virsrezultāta noteikšanas metodoloģijai ir jābūt piemērotai attiecīgajam ieguldījumu portfelim, tā struktūrai, ietilpstošajām vērtspapīru klasēm, dzēšanas periodiem (parāda vērtspapīriem) un ģeogrāfiskajai ekspozīcijai. Šādā gadījumā par sasniegto virsrezultātu izmaksājamajam pārvaldītāja atalgojumam ir objektīvs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mainīgās maksājuma daļas (pārvaldītāja papildus atalgojums) aprēķins pieļauj atlaides un etalonu samazinājumus, notiek attālināšanās no vispārpieņemtās prakses un pārvaldītāja motivācija sasniegt visaugstāko rezultātu kļūst zemāka. Papildus tam neatbilstoši sasniegtajam virsrezultātam aprēķinātā un izmaksātā mainīgā maksājuma daļa ir līdzekļi, par kuriem tiek samazināts dalībnieku uzkrātais kapitāls. Šāds rezultāts nav dalībnieku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dalībnieka interesēs ir, lai pārvaldītājs ieguldījumus veiktu prasmīgi un profesionāli, sabalansējot riskus finanšu tirgū ar piesardzību, kas nepieciešama šo līdzekļu saglabāšanai, un lai pārvaldītājs saņemtu tam noteikto atlīdzību pilnā apmērā par objektīvi un profesionāli sasniegto ieguldījumu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iespējams ir saistīts ar vienreizējiem izdevumiem līdzekļu pārvaldītāju sistēmās, taču uzskatām, ka ar tiem tiks panākta atbilstība vispārpieņemtajai finanšu tirgus praksei pārvaldnieku atalgošanas kontekstā; tiks sasniegts maksimāli iespējamais līdzsvars starp piemērojamo koeficientu un faktisko ieguldījumu portfeļu struktūru un ģeogrāfisko lokāciju katrā ieguldījumu plānā, kā arī tirgū atšķirīgi veidotajām ieguldījumu stratēģijām. Pārvaldītāji, kas Latvijas finanšu tirgū piedāvā ieguldījumu plānus vecumdienu kapitāla uzkrāšanai un izmanto aktīvas ieguldīšanas stratēģijas, par sasniegto virsrezultātu ir taisnīgi jāatalgo. Vienlaikus ar ienākumu, tas ir arī apliecinājums līdzekļu pārvaldītāja profesionalitātei, kā arī ar sasniegtā ienesīguma līmeni panāktā gādīgā un rūpīgā saimnieka principa izpausme.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principā veicinās konkurenci, motivēs VFPS līdzekļu pārvaldītājus sasniegt augstākus ieguldījumu plānu ienesīguma rādītājus, kā rezultātā palielināsies sagaidāmais pensijas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nodrošināšanai notika vairākas sanāksmes starp Latvijas Bankas pārstāvjiem, VFPS līdzekļu pārvaldītājiem un LFNA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 sabiedrības līdzdalība un komunikācija par Noteikumu projektu nav paredzēta, jo grozījumi maina atsevišķus nosacījumus (pielietojamus koeficientus un atskaites indeksus) komisijas maksu aprēķināšanas kārtībā, nemainot pašu aprēķināšanas metodi un tās būtību.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Finanšu ministrija
Valsts sociālās apdrošināšanas aģentūra
AS “Swedbank Ieguldījumu Pārvaldes Sabiedrība”
IPAS “SEB Investment Management”
IPAS “CBL Asset Management”
IPAS “INVL Asset Management”
IPAS "Luminor Asset Management"
IPAS “Indexo”
IPAS "VAIRO"
IPAS "Signet Pensiju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visiem VFPS dalībniekiem - tiem sociālās apdrošināšanas iemaksu veicējiem, kas saskaņā ar Likuma 3.panta pirmo un otro daļu ir dzimuši pēc 1971.gada 1.jūlija un kuriem līdzdalība VFPS ir noteikta kā obligāta, bet tiem, kas dzimuši no 1951.gada 2.jūlija līdz 1971.gada 1.jūlijam (ieskaitot), - brīvprātīga.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sociālās apdrošināšanas aģentūras datiem 2023. gada 31. decembrī VFPS bija reģistrēti 1,305,485 dalībnieku. VFPS dalībniekiem bija pieejami 33 ieguldījumu plāni, kurus pārvaldīja 8 licencētie līdzekļu pārvaldītāji.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rezultātā tiks nodrošināts, ka VFPS dalībnieku – nākotnes pensiju saņēmēju – līdzekļi tiek efektīvāk pārvaldīti, vairojot minēto līdzekļu vērtību. Secīgi šādā veidā stiprinot sabiedrības labklājību.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24-TA-1400</w:t>
    </w:r>
    <w:r>
      <w:br/>
    </w:r>
    <w:r w:rsidR="00000000" w:rsidRPr="00000000" w:rsidDel="00000000">
      <w:rPr>
        <w:rtl w:val="0"/>
      </w:rPr>
      <w:t xml:space="preserve">Izdrukāts 29.07.2026. 22.31 - 2.0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24-TA-1400</w:t>
    </w:r>
    <w:r>
      <w:br/>
    </w:r>
    <w:r w:rsidR="00000000" w:rsidRPr="00000000" w:rsidDel="00000000">
      <w:rPr>
        <w:rtl w:val="0"/>
      </w:rPr>
      <w:t xml:space="preserve">Izdrukāts 29.07.2026. 22.31 - 2.0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anotācija_(ex_ante)_24-TA-1400.docx</dc:title>
</cp:coreProperties>
</file>

<file path=docProps/custom.xml><?xml version="1.0" encoding="utf-8"?>
<Properties xmlns="http://schemas.openxmlformats.org/officeDocument/2006/custom-properties" xmlns:vt="http://schemas.openxmlformats.org/officeDocument/2006/docPropsVTypes"/>
</file>