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28. februāra noteikumos Nr. 145 "Noteikumi par fitosanitāriem pasākumiem un to piemērošanas kārtību koksnes iepakojamam materiālam""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2012. gada 28. februāra noteikumos Nr. 145 „Noteikumi par fitosanitāriem pasākumiem un to piemērošanas kārtību koksnes iepakojamam materiālam”” (turpmāk – noteikumu projekts) mērķis ir precizēt procedūru koksnes iepakojamā materiāla marķētāju iekļaušanai Profesionālo operatoru oficiālajā reģistrā (turpmāk – reģistrs) un oficiālā marķēšanas numura piešķiršanu, kā arī precizēt prasības, kas jāievēro reģistrētajām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2012. gada 28. februāra noteikumi Nr. 145 „Noteikumi par fitosanitāriem pasākumiem un to piemērošanas kārtību koksnes iepakojamam materiālam” (turpmāk – noteikumi Nr. 145).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145 18. punkts nosaka, ka, iekļaujot personu reģistrā, tai piešķir ne tikai individuālu reģistrācijas numuru, bet arī oficiālo marķēšanas numuru. Taču noteikumu Nr. 145 60.3. apakšpunktā minēts, ka veikto fitosanitāro pasākumu apliecina ar atbilstošu marķējumu uz koksnes vai koksnes iepakojamā materiāla un šajā marķējumā norāda personas reģistrācijas numuru reģistrā. Tādējādi radusies ir pretruna un, lai nerastos pārpratumi ar marķējuma izmantošanu, ir nepieciešams precizēt, kādu numuru izmanto marķējumā.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neprecizitāte jānovērš arī noteikumu Nr. 145 2. pielikumā par marķējumā norādāmo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personām, kuras veic koksnes iepakojamā materiāla termisko apstrādi vai izgatavo koksnes iepakojamo materiālu no termiski apstrādātas koksnes un marķē šādu koksni vai koksnes iepakojamo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koksnes iepakojamā materiāla termiskās apstrādes veicējiem un marķētājiem nemainās, jo kārtība, lai varētu veikt koksnes iepakojamā materiāla termisko apstrādi un marķēt koksnes iepakojamo materiālu paliek tāda pati kā līdz šim. Noteikumu projekts neuzliek administratīvo slogu, jo neparedz papildu informācijas sniegšanas vai uzglabāšanas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Paziņojumi par līdzdalības iespējām attīstības plānošanas dokumenta vai tiesību akta izstrādes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Zemkopības ministrijas tīmekļvietnē www.zm.gov.lv ievietoto noteikumu projektu netika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paziņojums par līdzdalības iespējām publicēts ZM tīmekļvietnē 2021.gada 8.septembrī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anotācija_(ex_ante)_21-TA-139.docx</dc:title>
</cp:coreProperties>
</file>

<file path=docProps/custom.xml><?xml version="1.0" encoding="utf-8"?>
<Properties xmlns="http://schemas.openxmlformats.org/officeDocument/2006/custom-properties" xmlns:vt="http://schemas.openxmlformats.org/officeDocument/2006/docPropsVTypes"/>
</file>