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148 582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- 270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sagatavotajā rīkojuma projektā ''Par uzņemšanu Latvijas pilsonībā naturalizācijas kārtībā'' ir iekļauti 30 pilsonības pretendenti, t.sk., 1 viņu nepilngadīgais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29 pilsonības pretendentiem 68% ir krievi, 6% ukraiņi, 10% baltkrievi, kā arī lietuvieši, poļi un citas tautības.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pilsonības pretendentu ir pamata, 41% - vidējā, 27% -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29 pilsonības pretendenti, kuri naturalizējas atbilstoši Pilsonības likuma 12.pantam un 1 pilsonības pretendents, kurš naturalizējas atbilstoši Pilsonības likuma 15.pantam.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garantijas fonda administrācijas un Ieslodzījuma vietu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tiesiskās noteiktības principa ievērošanu un iespēju personai savlaicīgi iegūt informāciju par tiesiskā statusa maiņu, Valsts kancelejai nepieciešams precizēt projekta 1.punktā norādīto datumu, nosakot to 14 dienas pēc attiecīgā projekta parakstīšanas.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22-TA-1964</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22-TA-1964</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anotācija_(ex_ante)_22-TA-1964.docx</dc:title>
</cp:coreProperties>
</file>

<file path=docProps/custom.xml><?xml version="1.0" encoding="utf-8"?>
<Properties xmlns="http://schemas.openxmlformats.org/officeDocument/2006/custom-properties" xmlns:vt="http://schemas.openxmlformats.org/officeDocument/2006/docPropsVTypes"/>
</file>