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11. oktobra noteikumos Nr. 638 "Kārtība, kādā tiek piešķirts un administrēts atbalsts energoietilpīgiem apstrādes rūpniecības komersantiem, lai mazinātu Krievijas militārās agresijas pret Ukrainu radītās sekas uz ekonomiku""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"Grozījumi Ministru kabineta 2022. gada 11. oktobra noteikumos Nr. 638 "Kārtība, kādā tiek piešķirts un administrēts atbalsts energoietilpīgiem apstrādes rūpniecības komersantiem, lai mazinātu Krievijas militārās agresijas pret Ukrainu radītās sekas uz ekonomiku"" projekts (turpmāk - Noteikumu projekts) izstrādāts, lai samazinātu militārās agresijas sekas, kas izpaužas kā energoresursu cenu pieaugums, paredzot atbalstu apstrādes rūpniecības energoietilpīgiem komersantiem to darbības noturēšanai un turpināšanai. Noteikumu projekts izstrādāts, lai precizētu normas, kas attiecas uz maksimālo atbalsta slieksni saistītai uzņēmumu grupai atbilstoši 2022. gada 24. marta paziņojuma "Krīzes pagaidu regulējums valsts atbalsta pasākumiem, ar ko atbalsta ekonomiku pēc Krievijas agresijas pret Ukrainu" (2022/C 131 I/01) 2.4. sadaļai " Atbalsts attiecībā uz papildu izmaksām, kas radušās sakarā ar ārkārtīgi krasu energoresursu cenu pieaugumu.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samazinātu militārās agresijas sekas, kas izpaužas kā energoresursu cenu pieaugums, paredzot atbalstu apstrādes rūpniecības energoietilpīgiem komersantiem to darbības noturēšanai un turpināšanai veicot tehniskus grozījumus balstoties uz Eiropas Komisijas Paziņojuma 2022. gada 28. oktobra C(2022) 7945 final par Krīzes pagaidu regulējums valsts atbalsta pasākumiem, ar ko atbalsta ekonomiku pēc Krievijas agresijas pret Ukrainu precizējumiem.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norma ir iesniegta saskaņošanai EK ar lietas Nr.SA.104408, attiecīgi grozījumi stāsies spēkā pēc Eiropas Komisijas pieņemtā lēmuma. Informācija par šiem grozījumiem tiks iesniegta Eiropas Komisijā SA.104408 lietas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Nr.638 šobrīd paredz, ka maksimālais kopējais granta atbalsts dabasgāzes un elektroenerģijas resursu cenu pieauguma kompensēšanai vienam komersantam nevienā brīdī nepārsniedz 30 % no dabasgāzes vai elektroenerģijas attiecināmajām izmaksām un kopā atbalsts nepārsniedz 2 miljonus euro vienam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var pieteikties vienam no energoresursu izmaksu kompensēšanas pasākumam vai abiem kopā, bet kopējais atbalsts nepārsniedz 2 miljonus euro vienam komersantam.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2022.gada 28.oktobra Komisijas paziņojumā par Krīzes pagaidu regulējumu valsts atbalsta pasākumiem, ar ko atbalsta ekonomiku pēc Krievijas agresijas pret Ukrainu zemsvītras atsauce Nr.93 nosaka, ka saņēmējs tikai 2.4. iedaļas ietvaros ir uzņēmums vai juridiska persona, kas ir uzņēmuma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noteikto ir veikti redakcionāli precizējumi MK noteikumu Nr.638 7.punktā, lai būtu skaidrs, ka atbalsta slieksni vērtē saistīto uzņēmumu grupas līmenī izsakot šo punktu jaunā redakcijā - Vienam komersantam kopējā atbalsta intensitāte nepārsniedz 30 % no dabasgāzes un elektroenerģijas attiecināmajām izmaksām un kopējais atbalsts </w:t>
      </w:r>
      <w:r w:rsidR="00000000" w:rsidRPr="00000000" w:rsidDel="00000000">
        <w:rPr>
          <w:i w:val="1"/>
          <w:u w:val="single"/>
          <w:rtl w:val="0"/>
        </w:rPr>
        <w:t xml:space="preserve">saistīto personu grupai</w:t>
      </w:r>
      <w:r w:rsidR="00000000" w:rsidRPr="00000000" w:rsidDel="00000000">
        <w:rPr>
          <w:rtl w:val="0"/>
        </w:rPr>
        <w:t xml:space="preserve"> nepārsniedz 2 000 000 euro. Minētā norma ir iestrādāta arī Eiropas Komisijas lēmuma projektā par atbalsta programmu, kas tiks apstiprināta ar MK Noteikumiem Nr.638. Normas apstiprināšana ir būtiska, lai Būvniecības valsts kontroles birojs var pieņemt lēmumus, kas ir atbilstoši Eiropas Komsiijas lēmumam lietā Nr.SA.104408 (2022/N)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būtu skaidrs saistīto personu definējums Noteikumu projekts papildināts ar 7.</w:t>
      </w:r>
      <w:r w:rsidR="00000000" w:rsidRPr="00000000" w:rsidDel="00000000">
        <w:rPr>
          <w:vertAlign w:val="superscript"/>
          <w:rtl w:val="0"/>
        </w:rPr>
        <w:t xml:space="preserve">1</w:t>
      </w:r>
      <w:r w:rsidR="00000000" w:rsidRPr="00000000" w:rsidDel="00000000">
        <w:rPr>
          <w:rtl w:val="0"/>
        </w:rPr>
        <w:t xml:space="preserve"> punktu, kas nosaka, ka šo noteikumu izpratnē saistītās personas ir saimnieciskās darbības veicēji, kas atbilst Komisijas regulas Nr. 651/2014 I pielikuma 3. panta 3. punktā noteiktajai saistīto uzņēmumu definīcijai. Termina saistīto personu grupai izpratnei piemēro Komisijas regulas Nr. 651/2014 I pielikuma 3. panta 3. punktā minēto saistīto uzņēmumu definīciju. Lai nodrošinātu minēto normu ievērošanu Būvniecības valsts kontroles birojs uzrauga, ka atbalstam piesakās komersanti un pie pieteikuma izvērtēšanas pārbauda komersanta saistītās personas, nodrošinot, ka kopējais atbalsts saistīto personu grupai nepārsniedz 2 000 000 euro. Pie maksimālā atbalsta sliekšņa saistīto personu grupā tiek ņemta vērā komersantu pieteikumu iesniegšanas secība Būvniecības valsts kontroles birojā.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tiks nodrošināts Ministru kabineta 2022. gada 11. oktobra noteikumu Nr. 638 "Kārtība, kādā tiek piešķirts un administrēts atbalsts energoietilpīgiem apstrādes rūpniecības komersantiem, lai mazinātu Krievijas militārās agresijas pret Ukrainu radītās sekas uz ekonomiku" 2022. gadā pieejamā valsts budžeta finansējuma 50 000 000 euro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 Eiropas Komisijas Paziņojuma 2022. gada 28. oktobra C(2022) 7945 final par Krīzes pagaidu regulējumu valsts atbalsta pasākumiem, ar ko atbalsta ekonomiku pēc Krievijas agresijas pret Ukrainu precizējumiem zemsvītras atsauce Nr.93 norma, kas nosaka, ka saņēmējs tikai 2.4. iedaļas ietvaros ir uzņēmums vai juridiska persona, kas ir uzņēmuma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 regulas Nr. 651/2014 I pielikuma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pojekta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66.punkta (e) 93 zemsvītras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22-TA-3424</w:t>
    </w:r>
    <w:r>
      <w:br/>
    </w:r>
    <w:r w:rsidR="00000000" w:rsidRPr="00000000" w:rsidDel="00000000">
      <w:rPr>
        <w:rtl w:val="0"/>
      </w:rPr>
      <w:t xml:space="preserve">Izdrukāts 29.07.2026. 21.19 - 2.0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22-TA-3424</w:t>
    </w:r>
    <w:r>
      <w:br/>
    </w:r>
    <w:r w:rsidR="00000000" w:rsidRPr="00000000" w:rsidDel="00000000">
      <w:rPr>
        <w:rtl w:val="0"/>
      </w:rPr>
      <w:t xml:space="preserve">Izdrukāts 29.07.2026. 21.19 - 2.0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anotācija_(ex_ante)_22-TA-3424.docx</dc:title>
</cp:coreProperties>
</file>

<file path=docProps/custom.xml><?xml version="1.0" encoding="utf-8"?>
<Properties xmlns="http://schemas.openxmlformats.org/officeDocument/2006/custom-properties" xmlns:vt="http://schemas.openxmlformats.org/officeDocument/2006/docPropsVTypes"/>
</file>