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"Grozījums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 (turpmāk - noteikumu projekts) izstrādāts, lai noteiktu minimālo dzīves dārdzības koeficientu, kas tiktu izmantots, lai aprēķinātu sociālās garantijas personu lokam, uz kuriem attiecināms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 (turpmāk - MK noteikumi Nr. 602) regulējums, dienesta valstī ar ļoti zemu Eiropas Savienības noteikto dzīves dārdzības (korekcijas) koeficientu Eiropas Savienības ierēdņu, pagaidu darbinieku un līgumdarbinieku atalgojumam (turpmāk - dzīves dārdzības koeficients).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noteikt zemāko robežu piemērojamam dzīves dārdzības koeficientam, tādējādi līdzsvarojot iespējamās statistiskas datu deformācijas ārvalstīs ar strauji mainīgu ekonomisko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01.01.2025.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Dzīves dārdzības koeficients tiek publiskots katru pusgadu un nākamās dzīves dārdzības koeficienta izmaiņas tiks publicētas 2025. gada 1. janvārī. Noteikumu projekta stāšanās spēkā ar 2025. gada 1. janvāri ļaus risināt dzīves dārdzības koeficienta svārstību riskus atsevišķās dienesta vietās ārvalstīs, kur situācija ir kritiska.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esošais regulējums paredz kompensāciju diplomātiem, diplomātiskā un konsulārā dienesta amatpersonām un darbiniekiem, specializētajiem atašejiem, valsts tiešās pārvaldes amatpersonām (darbiniekiem), karavīriem, prokuroriem un sakaru virsniekiem algas pabalsta par dienestu ārvalstī, pabalsta par laulātā uzturēšanos ārvalstī un pabalsta par bērna uzturēšanos ārvalstī apmēru noteikt atbilstoši dienesta vietas specifiskajiem apstākļiem, reizinot pabalsta apmēru ar dzīves dārdzības koeficientu. Dzīves dārdzības koeficients dažādās dienesta valstīs būtiski atšķiras, t.sk. vairākās no tām tas ir ļoti zems, piemēram, Turcijā - 0.412, Ēģiptē - 0.628, Baltkrievijā - 0.629 un Uzbekistānā 0.676.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Dzīves dārdzības koeficienta svārstības pašreiz īpaši izjūtamas Turcijā, proti, ja 2023. gada 1. jūlijā dzīves dārdzības koeficients Turcijā bija 0.429, tad jau 2024. gada 1. janvārī koeficients nokritās</w:t>
      </w:r>
      <w:r w:rsidR="00000000" w:rsidRPr="00000000" w:rsidDel="00000000">
        <w:rPr>
          <w:b w:val="1"/>
          <w:rtl w:val="0"/>
        </w:rPr>
        <w:t xml:space="preserve"> </w:t>
      </w:r>
      <w:r w:rsidR="00000000" w:rsidRPr="00000000" w:rsidDel="00000000">
        <w:rPr>
          <w:rtl w:val="0"/>
        </w:rPr>
        <w:t xml:space="preserve">līdz 0.359 (83,68% no iepriekšējā koeficienta). Lai arī ar 2024. gada 1. jūliju dzīves dārdzības koeficients Turcijā ir 0.412, biežās svārstības būtiski ietekmē amatpersonas un darbiniekus, kas nosūtīti pildīt diplomātisko un konsulāro dienestu Latvijas vēstniecībā Turcijā, jo katru pusgadu mainās dzīves dārdzības koeficients, pēc kura tiek aprēķināti un izmaksāti MK noteikumu Nr. 602 noteiktie algas pabalsti, pabalsti par laulātā uzturēšanos ārvalstī un pabalsti par bērna uzturēšanos ārvalstī. Koeficienta svārstību dēļ nav iespējams nodrošināt darbiniekiem stabilu minimālu sociālo garantiju apmērā valstīs ar zemu dzīves dārdzības koeficientu un augstu inflāciju. Jāmin, ka dzīves dārdzības koeficienta zemais un mainīgais līmenis pašlaik būtiski ietekmē Latvijas vēstniecības Turcijā darbības nepārtrauktību, jo darbinieki nevēlas tikt nosūtīti dienestā uz valsti, kurā ir zems un mainīgs dzīves dārdzības koeficients.  Norādāms, ka pastāv risks, ka dzīves dārdzības līmenis Ēģiptē varētu nokristies zem koeficienta 0.550, jo no 2022. gada 1. jūlija dzīves dārdzības koeficients ir krities no 0.883 līdz 0.628 un nav pazīmes, ka koeficients varētu nostabilizēties vai pieaugt. Tādējādi valstu skaits, kurās dzīves dārdzības koeficients var mainīties uz negatīvo pusi, nav precīzi nosakāms, bet koeficienta negatīvās izmaiņas var ietekmēt Latvijas diplomātisko un konsulāro pārstāvniecību ārvalstīs (turpmāk - pārstāvniecības) darbību, kuras atrodas valstīs ar svārstīgu dzīves dārdzības koeficientu, un nepieciešamā personāla piesaisti.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dzīves dārdzības koeficienta aprēķināšanas specifiku, tas virknē trešo valstu, it sevišķi – valstu, kuras pārdzīvo straujas ekonomiskas un politiskas izmaiņas, kā arī kuru valsts pārvaldes sistēmas nav uzskatāmas par transparentām, neatspoguļo faktisko dzīves dārdzības situāciju. Saskaņā ar </w:t>
      </w:r>
      <w:r w:rsidR="00000000" w:rsidRPr="00000000" w:rsidDel="00000000">
        <w:rPr>
          <w:i w:val="1"/>
          <w:rtl w:val="0"/>
        </w:rPr>
        <w:t xml:space="preserve">Eurostat </w:t>
      </w:r>
      <w:r w:rsidR="00000000" w:rsidRPr="00000000" w:rsidDel="00000000">
        <w:rPr>
          <w:rtl w:val="0"/>
        </w:rPr>
        <w:t xml:space="preserve">sniegto informāciju par minētā koeficienta aprēķināšanas metodoloģiju, tajā tiek izmantoti ārvalstu oficiālo nacionālo statistikas institūciju publicētie dati</w:t>
      </w:r>
      <w:r w:rsidR="00000000" w:rsidRPr="00000000" w:rsidDel="00000000">
        <w:rPr>
          <w:vertAlign w:val="superscript"/>
          <w:rtl w:val="0"/>
        </w:rPr>
        <w:t xml:space="preserve">1</w:t>
      </w:r>
      <w:r w:rsidR="00000000" w:rsidRPr="00000000" w:rsidDel="00000000">
        <w:rPr>
          <w:rtl w:val="0"/>
        </w:rPr>
        <w:t xml:space="preserve">. Šādās valstīs šie dati bieži vien neatspoguļo to patieso ekonomisko situāciju, piemēram, realitātē pastāvošo patēriņa cenu inflāciju. Vienlaikus šādās valstīs oficiālā informācija ir tendēta uzrādīt pozitīvākus ekonomikas izaugsmes un inflācijas datus, tādējādi cenšoties uzlabot valsts tēlu tās iedzīvotāju un starptautisko institūciju vidū. Piemēram, saskaņā ar oficiālajiem inflācijas datiem ikgadējā inflācija Turcijā 2024. gada septembrī sasniedza 49.38 %, savukārt neoficiālie dati (piemēram, </w:t>
      </w:r>
      <w:r w:rsidR="00000000" w:rsidRPr="00000000" w:rsidDel="00000000">
        <w:rPr>
          <w:i w:val="1"/>
          <w:rtl w:val="0"/>
        </w:rPr>
        <w:t xml:space="preserve">ENAGroup </w:t>
      </w:r>
      <w:r w:rsidR="00000000" w:rsidRPr="00000000" w:rsidDel="00000000">
        <w:rPr>
          <w:rtl w:val="0"/>
        </w:rPr>
        <w:t xml:space="preserve">faktiskās patēriņa inflācijas aprēķini) liecina par 88.63% gada inflāciju 2024. gada septembrī. Dzīves dārdzības koeficienti šādās valstīs līdz ar koriģēto statistiskas datu izmantošanu mākslīgi tiek pazemināti un neatspoguļo reālo ekonomisko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Augsta inflācija un mainīgs dzīves dārdzības līmenis negatīvi ietekmē darbinieku ikdienas preču iegādes un pakalpojumu saņemšanas iespējas, jo nav iespējams prognozēt faktiskās izmaksas augstās inflācijas dēļ, kas ar mainīgo sociālo garantiju līmeni, dzīves dārdzības koeficienta svārstību dēļ, neveicina stabilitāti un negatīvi ietekmē darbinieku ģimeņu emocionālo komfortu. Vienlaikus darbinieki, kuri pilda dienestu ārvalstīs, savā ikdienas dzīvē uzņemas civiltiesiskas saistības. Saistību apjomi var mainīties neprognozējami līdz ar faktiskajām ekonomiskās situācijas izmaiņām valstī. Jāmin, ka iepriekšējos gados Turciju ir skārušas postošas dabas katastrofas, kas joprojām ietekmē valsts ekonomisko stabilitāti.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ja ārvalsts ir koriģējusi savus statistikas datus, kas sekojoši tiek izmantoti dzīves dārdzības koeficienta aprēķināšanai, darbinieki nonāk situācijā, kur to ikdienas izmaksas un saistības mainās neatbilstoši minētajiem koeficientiem. Inflācijas ietekmē nesamērīgi aug preču un pakalpojumu cenas, kā rezultātā pat pirmās nepieciešamības preču iegāde jau kļūst nesamērīgi dārga. Piemēram, Turcijas liras oficiālais kurss pret </w:t>
      </w:r>
      <w:r w:rsidR="00000000" w:rsidRPr="00000000" w:rsidDel="00000000">
        <w:rPr>
          <w:i w:val="1"/>
          <w:rtl w:val="0"/>
        </w:rPr>
        <w:t xml:space="preserve">euro</w:t>
      </w:r>
      <w:r w:rsidR="00000000" w:rsidRPr="00000000" w:rsidDel="00000000">
        <w:rPr>
          <w:rtl w:val="0"/>
        </w:rPr>
        <w:t xml:space="preserve"> saglabājies relatīvi stabils, proti, ja 2024. gada 2. janvārī atbilstoši Latvijas Bankas datiem par 32,56 Turcijas lirām varēja iegādāties 1 </w:t>
      </w:r>
      <w:r w:rsidR="00000000" w:rsidRPr="00000000" w:rsidDel="00000000">
        <w:rPr>
          <w:i w:val="1"/>
          <w:rtl w:val="0"/>
        </w:rPr>
        <w:t xml:space="preserve">euro</w:t>
      </w:r>
      <w:r w:rsidR="00000000" w:rsidRPr="00000000" w:rsidDel="00000000">
        <w:rPr>
          <w:rtl w:val="0"/>
        </w:rPr>
        <w:t xml:space="preserve">, tad 2024. gada 31. oktobrī par 1 </w:t>
      </w:r>
      <w:r w:rsidR="00000000" w:rsidRPr="00000000" w:rsidDel="00000000">
        <w:rPr>
          <w:i w:val="1"/>
          <w:rtl w:val="0"/>
        </w:rPr>
        <w:t xml:space="preserve">euro </w:t>
      </w:r>
      <w:r w:rsidR="00000000" w:rsidRPr="00000000" w:rsidDel="00000000">
        <w:rPr>
          <w:rtl w:val="0"/>
        </w:rPr>
        <w:t xml:space="preserve">varēja iegādāties 37,26 Turcijas liras. Minētais parāda, ka faktiskais izmaksu pieaugums nav saistāms ar valsts oficiāli sniegto informāciju un ir daudz augstāks.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nav iespējams paredzēt citu valstu pieņemtos lēmumus un objektīvi izvērtēt statistiskas datu atbilstību, saskaņā ar kuriem tiek noteikts dzīves dārdzības koeficients, kā arī to, ka zems dzīves dārdzības koeficients tiek noteikts valstīs ar sarežģītu ekonomisko situāciju, nolūkā pasargāt pārstāvniecībās nodarbinātos no sociālo garantiju svārstībām, nepieciešams noteikt minimālo piemērojamo dzīves dārdzības koeficienta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i w:val="1"/>
          <w:rtl w:val="0"/>
        </w:rPr>
        <w:t xml:space="preserve">Correction coefficients outside the European Union (Duty stations) - index </w:t>
      </w:r>
      <w:r w:rsidR="00000000" w:rsidRPr="00000000" w:rsidDel="00000000">
        <w:rPr>
          <w:rtl w:val="0"/>
        </w:rPr>
        <w:t xml:space="preserve">(Brussels = 100) (prc_colc_ext),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Reference Metadata in Euro SDMX Metadata Structure (ESMS)</w:t>
      </w:r>
      <w:r w:rsidR="00000000" w:rsidRPr="00000000" w:rsidDel="00000000">
        <w:rPr>
          <w:rtl w:val="0"/>
        </w:rPr>
        <w:t xml:space="preserve">, pieejams: https://ec.europa.eu/eurostat/cache/metadata/en/prc_colc_ext_esms.htm#accuracy1606122383519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Lielākajā daļā ārvalstu, kurās atrodas pārstāvniecības, dzīves dārdzības koeficients svārstās starp 0.600 – 1.450. Tādēļ kā minimālais dzīves dārdzības koeficienta līmenis Noteikumos Nr. 602 nosakāms vismaz 0.550 apmērā, kas ļautu vienādot pārstāvniecību</w:t>
      </w:r>
      <w:r w:rsidR="00000000" w:rsidRPr="00000000" w:rsidDel="00000000">
        <w:rPr>
          <w:b w:val="1"/>
          <w:rtl w:val="0"/>
        </w:rPr>
        <w:t xml:space="preserve"> </w:t>
      </w:r>
      <w:r w:rsidR="00000000" w:rsidRPr="00000000" w:rsidDel="00000000">
        <w:rPr>
          <w:rtl w:val="0"/>
        </w:rPr>
        <w:t xml:space="preserve">darbiniekiem, uz kuriem ir attiecināmi minētie noteikumi, valstīs ar zemu dzīves dārdzības koeficientu kompensāciju līmeni, kas to zemākajos gadījumos ir pietuvināts zemākajai vidējai robežai. Vienlaikus šāda zemākās robežas noteikšana ievērojami uzlabotu pārstāvniecībā nepieciešamā personāla piesaisti darbam ārvalstīs ar zemākiem dzīves dārdzības koeficientiem.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Diplomāti, diplomātiskā un konsulārā dienesta amatpersonas un darbinieki, specializētie atašeji, valsts tiešās pārvaldes amatpersonas (darbinieki), karavīri, prokurori un sakaru virsnieki laikā, kad tie pilda dienestu ārvalstī, šo amatpersonu ģimenes locekļi (laulātais, bērni).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īstenošana tiks nodrošināta Ārlietu ministrijai piešķirtā budžeta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Netiek ieviestas jaunas politiskās iniciatīvas.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skar valsts pārvaldes iekšējos procesus un nav saistīts ar plašākas sabiedrības interešu īstenošanu.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24-TA-2767</w:t>
    </w:r>
    <w:r>
      <w:br/>
    </w:r>
    <w:r w:rsidR="00000000" w:rsidRPr="00000000" w:rsidDel="00000000">
      <w:rPr>
        <w:rtl w:val="0"/>
      </w:rPr>
      <w:t xml:space="preserve">Izdrukāts 29.07.2026. 23.40 - 1.0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24-TA-2767</w:t>
    </w:r>
    <w:r>
      <w:br/>
    </w:r>
    <w:r w:rsidR="00000000" w:rsidRPr="00000000" w:rsidDel="00000000">
      <w:rPr>
        <w:rtl w:val="0"/>
      </w:rPr>
      <w:t xml:space="preserve">Izdrukāts 29.07.2026. 23.40 - 1.0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anotācija_(ex_ante)_24-TA-2767.docx</dc:title>
</cp:coreProperties>
</file>

<file path=docProps/custom.xml><?xml version="1.0" encoding="utf-8"?>
<Properties xmlns="http://schemas.openxmlformats.org/officeDocument/2006/custom-properties" xmlns:vt="http://schemas.openxmlformats.org/officeDocument/2006/docPropsVTypes"/>
</file>