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noteikumu projekts), lai precizētu normu par Eiropas Lauksaimniecības garantiju fonda (ELGF) un Eiropas Lauksaimniecības fonda lauku attīstībai (ELFLA) sertifikācijas struktūras izraudzīšanos, kuru var izraudzīties ne tikai publiskā iepirkuma kārtībā, ja par sertifikācijas struktūru tiek izraudzīta valsts pārvaldes struktūra, kā arī lai iekļautu jaunu tiesību normu, paredzot atsevišķus gadījumus, kad Eiropas Savienības (turpmāk - ES) finansējums ir jāizmaksā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normu par Eiropas Lauksaimniecības garantiju fonda (ELGF) un Eiropas Lauksaimniecības fonda lauku attīstībai (ELFLA) sertifikācijas struktūras izraudzīšanos, kā arī noteikt atsevišķus gadījumus, kad ES finansējums ir izmaksājams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noteikumi Nr. 50) ir noteikta kārtība, kādā administrē valsts un ES atbalstu lauksaimniecībai un lauku attīstībai 2023.–2027.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Regulas (ES) 2021/2116 (turpmāk – Regula 2021/2116) par kopējās lauksaimniecības politikas finansēšanu, pārvaldību un uzraudzību un ar ko atceļ Regulu (ES) Nr. 1306/2013 12. pants nosaka, ka sertifikācijas struktūra var būt gan publiska, gan privāta revīzijas struktūra. Šobrīd noteikumu Nr. 50 8. punkts nosaka, ka sertifikācijas struktūra tiek izvēlēta publiskā iepirkuma kārtībā, kas ir sašaurināta pieeja attiecībā uz Regulās 2021/2116 12. pantā noteikto. 2025. gadā, ņemot vērā valstī noteiktos budžeta taupības pasākumus, nepietiekama finansējuma dēļ iepirkuma procedūra par sertifikācijas struktūras izvēli tika pārtraukta. Ir nepieciešams paredzēt, ka sertifikācijas struktūra var būt arī publiska revīzijas struktūra, piemēram, Zemkopības ministrijas Audita departaments.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sertifikācijas struktūras noteikšanas kārtību, ir jāprecizē noteikumu Nr. 50 8. punkts, svītrojot atsauci uz publiskā iepirkuma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Lauksaimniecības fonda lauku attīstībai (ELFLA) publiskā finansējuma saņēmējiem izmaksājamā publiskā finansējuma izdevumu attiecināmības periods 2023.–2027. gada plānošanas periodā saskaņā ar ES tiesību aktiem ir 2030. gada 31. decembris. Tomēr saistībā ar Eiropas Lauksaimniecības garantiju fonda (ELGF) un ELFLA īstenošanu 2023.–2027. gada plānošanas periodā ir atsevišķi gadījumi, kad publiskais finansējums tā saņēmējiem būtu izmaksājams arī pēc attiecināmības perioda beigām,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atbalsta saņēmējs ir apstrīdējis lēmumu, ar kuru Lauku atbalsta dienests noraidīja maksājumu par projekta vai pieteikuma īstenošanu un ir stājies spēkā atbalsta saņēmējam labvēlīgs tiesas spriedums vai pieņemts nolēmums, kas paredz atbalsta saņēmējam labvēlīgu tiesvedības iznākumu;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atbalsta saņēmējs ir miris un pēc viņa saistību pārņemšanas atbalsts izmaksājams atbalsta saņēmēja mantiniekam, piemēram, uz lauksaimniecības zemes platību maksājumiem, kurus finansē no ELGF, var pieteikties mirušā atbalsta saņēmēja mantinieki pēc ilgāka perioda un noilgumu atbalsta izmaksai nevar piemērot, jo mantinieka mantošanas tiesības nevar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konstatētais un atbalsta saņēmējam piemērotais debitora parāds tiek atcelts un atbalsts izmaksājams atbalsta saņēmējam, piemēram, kad sūdzības izskatīšanas termiņš dažādu iemeslu dēļ tiek pagarināts uz vairākiem mēnešiem, jo atbalsta saņēmējam tiek lūgts iesniegt noteiktus dokumentus vai noteiktā laika posmā sasniegt noteiktus sasniedzamos rādītājus, tāpēc gala lēmums par atbalsta izmaksu tiek izdots jau pēc attiecināmības perioda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projekts paredz noteikumus Nr. 50 papildināt ar jaunu 34.</w:t>
      </w:r>
      <w:r w:rsidR="00000000" w:rsidRPr="00000000" w:rsidDel="00000000">
        <w:rPr>
          <w:vertAlign w:val="superscript"/>
          <w:rtl w:val="0"/>
        </w:rPr>
        <w:t xml:space="preserve">1</w:t>
      </w:r>
      <w:r w:rsidR="00000000" w:rsidRPr="00000000" w:rsidDel="00000000">
        <w:rPr>
          <w:rtl w:val="0"/>
        </w:rPr>
        <w:t xml:space="preserve"> punktu, nosakot, ka iepriekšminētajos gadījumos publiskais finansējums ir izmaksājams no valsts budžeta līdzekļiem. Izvērtējot esošo situāciju – pārņemto saistību apmēru, iespējamo apmēru attiecībā uz saistību pārņemšanu, tiesvedībā esošās lietas, kā arī iespējamo apmēru saistībā ar debitora parādu atcelšanu, secināms, ka no valsts budžeta izmaksājamais finansējums pēc 2023.–2027. gada plānošanas perioda attiecināmības perioda beigām turpmākajos piecos gados varētu būt ne vairāk kā 100 000 eiro, t.i., vidēji 20 000 eiro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 uz kuriem attiecas gadījumi, kas iekļauti noteikumu Nr. 50 34.</w:t>
      </w:r>
      <w:r w:rsidR="00000000" w:rsidRPr="00000000" w:rsidDel="00000000">
        <w:rPr>
          <w:vertAlign w:val="superscript"/>
          <w:rtl w:val="0"/>
        </w:rPr>
        <w:t xml:space="preserve">1</w:t>
      </w:r>
      <w:r w:rsidR="00000000" w:rsidRPr="00000000" w:rsidDel="00000000">
        <w:rPr>
          <w:rtl w:val="0"/>
        </w:rPr>
        <w:t xml:space="preserve"> punktā, varēs saņemt pienākošos ES atbalsta maksājumus arī pēc plānošanas perioda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 uz kuriem attiecas gadījumi, kas iekļauti noteikumu Nr. 50 34.1 punktā, varēs saņemt pienākošos ES atbalsta maksājumus arī pēc plānošanas perioda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līdzšinējo ES plānošanas periodu pieredzi (pārņemto saistību apmēru, iespējamo apmēru attiecībā uz saistību pārņemšanu, tiesvedībā esošās lietas, kā arī iespējamo apmēru saistībā ar debitora parādu atcelšanu), ir secināts, ka finanšu apmērs, kas pēc Eiropas Lauksaimniecības garantiju fonda (ELGF) un Eiropas Lauksaimniecības fonda lauku attīstībai (ELFLA) izdevumu attiecināmības perioda beigām izmaksājams turpmākos piecus gadus no valsts budžeta gadījumos, kas minēti noteikumu Nr. 50 34.1 punktā, varētu būt ne vairāk kā 100 000 eiro, t.i., vidēji 20 000 eiro gadā, sākot no 2030.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ekonomisku valsts budžeta līdzekļu izmantošanu, Eiropas Savienības finanšu plānošanas perioda 2028.–2034. gadam beigās, kad būs zināmi faktiski izmaksātie finanšu līdzekļi uz noteikumu projekta 2. punkta pamata, Zemkopības ministrija iesniegs Ministru kabinetā informatīvo ziņojumu par faktiskā finansējuma izlietojumu un tā atjaunošanu ministrijas valsts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nepieciešama, jo noteikumu projekts paredz normas, kas skar ES atbalsta saņēmējus, uz kuriem attiecas gadījumi, kas iekļauti noteikumu Nr. 50 34.</w:t>
      </w:r>
      <w:r w:rsidR="00000000" w:rsidRPr="00000000" w:rsidDel="00000000">
        <w:rPr>
          <w:vertAlign w:val="superscript"/>
          <w:rtl w:val="0"/>
        </w:rPr>
        <w:t xml:space="preserve">1</w:t>
      </w:r>
      <w:r w:rsidR="00000000" w:rsidRPr="00000000" w:rsidDel="00000000">
        <w:rPr>
          <w:rtl w:val="0"/>
        </w:rPr>
        <w:t xml:space="preserve"> punktā, un kas varēs saņemt pienākošos ES atbalsta maksājumus arī pēc plānošanas perioda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26-TA-125</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26-TA-125</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anotācija_(ex_ante)_26-TA-125.docx</dc:title>
</cp:coreProperties>
</file>

<file path=docProps/custom.xml><?xml version="1.0" encoding="utf-8"?>
<Properties xmlns="http://schemas.openxmlformats.org/officeDocument/2006/custom-properties" xmlns:vt="http://schemas.openxmlformats.org/officeDocument/2006/docPropsVTypes"/>
</file>