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5. septembra noteikumos Nr. 537 "Noteikumi par portfeļgarantijām sīko (mikro), mazo un vidējo saimnieciskās darbības veicēju – juridisko personu – kreditēšanas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5. septembra noteikumos Nr. 537 "Noteikumi par portfeļgarantijām sīko (mikro), mazo un vidējo saimnieciskās darbības veicēju – juridisko personu – kreditēšanas veicināšanai" (turpmāk - MK noteikumu projekts) ir izstrādāts, lai pilnveidotu portfeļgarantiju programmas nosacījumus un tādējādi nodrošinātu lielāku finanšu pieejamību saimnieciskās darbības veicējiem.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finansējuma pieejamību saimnieciskās darbības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5. septembra noteikumi Nr. 537 "Noteikumi par portfeļgarantijām sīko (mikro), mazo un vidējo saimnieciskās darbības veicēju – juridisko personu – kreditēšanas veicināšanai" (turpmāk - MK Noteikumi Nr. 537) nosaka garantiju atbalsta piešķiršanas nosacījumus, finansēšanas kārtību un valsts atbalsta nosacījumus sīkajiem (mikro), mazajiem, vidējiem, mazajiem vidējās kapitalizācijas un vidējās kapitalizācijas saimnieciskās darbības veicējiem – juridiskām personām (turpmāk – saimnieciskās darbības veicēji) – ierobežotas portfeļgarantijas veidā, kā arī Covid-19 izraisītās krīzes portfeļgarantijas nosacījumus un Eiropas Savienības kohēzijas politikas programmas 2021.–2027. gadam 1.2.3. specifiskā atbalsta mērķa "Veicināt ilgtspējīgu izaugsmi, konkurētspēju un darba vietu radīšanu MVU, tostarp ar produktīvām investīcijām" 1.2.3.4. pasākuma "Garantijas, portfeļgarantijas pilna cikla uzņēmējdarbībai" (turpmāk – 1.2.3.4. pasākums) portfeļgarantiju nosacījumus tiešo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akciju sabiedrības "Attīstības finanšu institūcija Altum" (turpmāk – sabiedrība “Altum) ir noslēgti sadarbības līgumi ar šādām kredītiestādēm: AS "SEB banka", AS "Industra Bank", AS "Luminor Bank", AS "Swedbank", AS "Citadele banka", kā arī alternatīvo finansētāju SIA "Capitalia Fund Management AIFP". Atlases kārtas ietvaros ietvaros līdz šim sniegts atbalsts 39 komersantiem par kopējo darījumu apjomu 394 434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537 nosaka portfeļgarantiju piešķiršanas nosacījumus tiešo finanšu instrumentu veidā 1.2.3.4. pasākuma ietvaros. Latvijas tautsaimniecībā dominē sīko (mikro), mazo un vidējo saimnieciskās darbības veicēji (turpmāk - MVU), kas veido vairāk nekā 99% no visiem uzņēmumiem. Lielākā daļa šo uzņēmumu darbojas nozarēs, kur nepieciešamas ievērojamas sākotnējās investīcijas un apgrozāmie līdzekļi, piemēram, rūpniecībā, lauksaimniecībā un tehnoloģiju sektorā. Pieaugošās uzņēmējdarbības izmaksas un ekonomiskā nenoteiktība prasa valsts atbalsta instrumentu pielāgošanu realitātei.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tikšanās rezultātus ar nozares uzņēmumus pārstāvošajām organizācijām un kredītiestādēm par praktisko piemērošanu garantiju programmā nepieciešamajiem papildus risinājumiem finansējuma pieejamības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atbalstu lauksaimniecības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integrēt attiecīgajos MK Noteikumu Nr. 537 punktos atsauci uz Komisijas 2013. gada 18. decembra Regulu (ES) Nr. 1408/2013 par Līguma par Eiropas Savienības darbību 107. un 108. panta piemērošanu de minimis atbalstam lauksaimniecības nozarē (turpmāk – Komisijas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finanšu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537 4.2. apakšpunkts nosaka, ka garantijas sniedz tādiem finanšu pakalpojumiem kā finanšu pakalpojums – finansētāja izsniegti aizdevumi investīciju veikšanai un apgrozāmo līdzekļu finansēšanai, finanšu līzings. Ar MK Noteikumu projektu tiek precizēts, ka MK noteikumu Nr. 573 4.2. punkts tiek papildināts ar banku garantijām kā piemērojamu finanšu pakalpojuma veidu, tādējādi paplašinot atbalstāmo instrumentu spektru, kas programmas atbalstāmo finanšu pakalpojumu ietvaros tika iekļauti līdz ar MK 18.06.2024 grozījumiem (noteikumi Nr. 362).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Palielināt garantēto finanšu pakalpojumu maksimālo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537 paredz, ka vienam saimnieciskās darbības veicējam garantēto finanšu pakalpojumu summa nepārsniedz 500 000 euro. Ar mērķi veicināt saimnieciskās darbības veicēju spēju īstenot ambiciozākus projektus, MK Noteikumu projekts paredz palielināt MK Noteikumu Nr. 537 10.4. punktā garantēto finanšu pakalpojumu maksimālā summu līdz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Pilnveidoti MK Noteikumu Nr. 537 atbalsta programmas nosacījumi, tādējādi paplašinot portfeļgarantiju pieejamību un veicinot uzņēmējdarbības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Paaugstinot garantijas summu, MVU varēs veikt apjomīgākas investīcijas, attīstīt jaunas tehnoloģijas, palielināt produktivitāti un stiprināt konkurētspēju gan vietējā, gan starptautiskajā tirgū. Tas veicinās nodarbinātību, inovācijas un kopējo tautsaimniecības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Lietuvā portfeļgarantiju rīku piedāvā attīstības institūcija ILTE un maksimālā garantētā finansēto pakalpojumu summa ir 2 812 500 euro, savukārt primārās lauksaimniecības nozares komersantiem 234 375 euro</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portfeļgarantiju instrumentu piedāvā attīstības institūcija EiS, kur maksimālais garantētais finanšu pakalpojums ir līdz 200 000  euro</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https://ilte.lt/en/services/114/portfolio-guarantees-3-121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https://kredex.ee/en/node/2421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garantijas apmēra palielinājums radīs lielāku interesi par garantiju saņemšanu Latvijā, konkurējot ar pārējām Baltijas un ES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termiņus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precizēti aizdevumu apgrozāmo līdzekļu finansēšanai un banku garantiju termiņi, veicot grozījumus MK Noteikumos Nr. 537 10.4 – 10.7. punktos, kas nosaka konkrētu maksimālo termiņu šiem finanšu pakalpojumiem, salāgojot programmas nosacījumus ar individuālo garantiju programmu, kas noteikta atbilstoši 2020. gada 16. jūnija Ministru kabineta noteikumiem Nr. 383 “Noteikumi par garantijām saimnieciskās darbības veicējiem konkurētspējas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attīstības institūcija ILTE portfeļgarantiju termiņi: investīciju aizdevumiem un finanšu līzingam (līzings) – līdz 10 gadiem; apgrozāmajiem līdzekļiem aizdevumiem – līdz 5 gadiem; finansējums kredītlīnijas veidā – līdz 3 gadiem.  . Savukārt attīstības institūcijas KredEx portfeļgarantiju termiņi ir šādi: investīciju aizdevumiem līdz 10 gadiem; apgrozāmo līdzekļu aizdevumiem līdz 5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garantiju prēmijas turpmāk tiks noteiktas ar sabiedrības "Altum"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MK Noteikumu Nr. 537 12. punkts, nosakot, ka par garantijas izsniegšanu tiek piemērota vienreizēja garantijas prēmija no garantijas segtās finanšu pakalpojumu summas saskaņā ar sabiedrības "Altum"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nosacījumi tiek piemēroti arī citās “Altum” īstenotajās garantiju programmās un ļauj elastīgi reaģēt uz izmaiņām, piemēram, procentu likmju kāpuma periodos. Cenrādis ir publiski pieejams dokuments, kas publicēts Sabiedrības "Altum"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https://www.altum.lv/wp-content/uploads/2024/10/Cenradis_komersantu_lauksaimnieku_-garantijam_v12_241024-1.pdf.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projekts papildina MK Noteikumu Nr. 537 13.1. punktu, kurā noteikts regulējums ar nosacījumu par papildu garantiju piemērošanu, paredzot, ka garantiju izsniegšanai un sabiedrības "Altum" pārvaldības izmaksu segšanai var izmantot Eiropas Savienības struktūrfondu un Kohēzijas fonda 2007.–2013. gada plānošanas perioda atmaksāto finansējumu. Izņēmuma kārtā atļauts izmantot šo finansējumu arī sabiedrības "Altum" aizdevumu refinansēšanai, ievērojot visas piemērojamās komercdarbības atbalsta regulējuma normas. Analoga norma jau šobrīd ir iekļauta arī sabiedrības “Altum” īstenotajā individuālo garantiju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nozaru klasifikāciju atbilstoši NACE 2.1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kas 2024. gada 31. decembrī beidza savu darbību. No 2025. gada 1. janvāra NACE 2. red. tika atjaunināta, lai ņemtu vērā tehnoloģiju un ekonomikas attīstību un nodrošinātu tās saskaņotību ar citām ekonomiskajām un sociālajām klasifikācijām, kā rezultātā spēkā stājās NACE 2.1. redakcija, kas izklāstīta Komisijas deleģētajā (ES) 2022. gada 10 oktobra Regulā Nr. 2023/137, ar kuru groza Regulu (EK) Nr. 1893/2006, ar ko izveido saimniecisko darbību statistisko klasifikāciju. MK Noteikumu projekts paredz grozījumus MK Noteikumu Nr. 537 13.7. apakšpunktā, papildinot un precizējot neatbalstāmās nozares saskaņā ar NACE 2.1 redakciju, tādējādi nodrošinot regulējuma atbilstību faktiskajai uzņēmējdarbības klasifikācijai un atbalsta piešķiršanas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veikti grozījumi MK Noteikumu Nr. 537 13.8. punktā, papildinot un precizējot neatbalstāmās nozares saskaņā ar NACE 2. redakciju, tādējādi nodrošinot regulējuma atbilstību faktiskajai uzņēmējdarbības klasifikācijai un atbalsta piešķiršanas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 finansētāju atlases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sabiedrība "Altum" informē finansētājus par atlases izsludināšanu, publicējot attiecīgo informāciju un atlases nosacījumus savā tīmekļvietnē: www.altum.lv. Tādējādi MK noteikumu projekts stiprina informācijas pieejamību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projekts paredz, ka, ja atlases ietvaros sākotnēji nav rezervēts viss pieejamais finansējums, sabiedrība "Altum" ir tiesīga slēgt sadarbības līgumus arī ar citiem finansētājiem, kas kvalificējušies atlasē atbilstoši atlases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projekts turpmāk paredz, ka līdzīgi kā iepriekšējās atlases kārtās finansētāju atlases nosacījumi tiks definēti Atlases noteikumos un neierobežos finansētāju atlasei izvēlēties arī jaunus sadarbības partnerus, tā kā līdzšinējā redakcijā 25.1 – 25.3. punkti ierobežoja piešķiramā finansējuma apmēru atlasītajiem finansētājiem, kā arī noteica labvēlīgākus nosacījumus arī balstoties uz iepriekšējiem sadarbības rezultātiem. Plānots, ka turpmākajās atlases kārtās maksimālā piešķiramā finansējuma apmērs tiks noteikts vienāds visiem finansētājiem, kas atbilst atlases kritērijiem, bet nepārsniegs pieprasītā finansējuma apmēru, kas atbilstoši pamatots finansētāja pieteikumā. Tādā veidā tiks nodrošināti vienlīdzīgi nosacījumi visiem finansētājiem, kā arī tiks veicināta kreditēšana, izmantojot ALTUM portfeļgarantiju. (izmaiņas MK Noteikumu Nr. 537 25.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MK Noteikumu projekta apstiprināšanu MK, tiek paredzēts veicināt MK Noteikumu Nr.537 noteiktos rādītāju sasniegšanu – atbalstīt 50 komersantus un piesaistīt investīcijas – 9 869 476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nosacījumus, finansēšanas kārtību un valsts atbalsta nosacījumus sīkajiem (mikro), mazajiem, vidējiem, mazajiem vidējās kapitalizācijas un vidējās kapitalizācijas saimnieciskās darbības veicējiem. MK noteikumu projekts radīs pozitīvu ietekmi, jo veicinās finanšu rīku pieejamību plašākam uzņēmēju lokam, kas palīdzēs palielināt  uzņēmējdarbības kapitāla pieejamības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paplašināts to saimnieciskās darbības veicēju loks, kuriem būs pieejams šis finanšu instruments, kā arī būtiski palielināts atbalsta apjoms, tiek prognozēta pozitīva ietekme uz valsts makroekonomisko vidi, veicinot investīcijas, uzņēmējdarbības attīstību un kopējo ekonomikas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apstākļi tiek nodrošināti vienlīdzīgi plašākam spektram tirgus dalībnieku, ņemot vērā, ka atbalsts tiek sniegts arī lauksaimniecības nozares speciālistiem. Tas veicinās pozitīvas uzņēmējdarbības vides attīstību un konkurētspējas pieaugumu plašākam saimnieciskās darbības veicēju lokam, kā arī stiprinās valsts atbalsta instrumentu efektīvu izmantošanu. Konkurētspējas veicināšanu gan Latvijas, gan starptautiskajos tirgos.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veicina vienlīdzīgus konkurences apstākļus plašākam tirgus dalībnieku lokam, jo paredzēts atbalsts arī lauksaimniecības nozares saimnieciskās darbības veicējiem. Šī pieeja nodrošina atbalsta instrumentu pieejamību, tādējādi sekmējot labvēlīgas uzņēmējdarbības vides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uzlabojumi veicina plašākas uzņēmēju grupas konkurētspēju, stiprinot viņu spēju izmantot valsts atbalsta mehānismus savu attīstības mērķu sasniegšanai. Atbalsta pasākumi īpaši vērsti uz mazo un vidējo uzņēmumu segmentu, sekmējot to ilgtspējīgu izaugsmi, konkurētspējas stiprināšanu un jaunu darba vietu radīšanu gan Latvijas, gan ārvalstu tirgos.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atbalsts ir tieši tendēts uz MVU iespējām veicināt ilgtspējīgu izaugsmi, konkurētspēju un darba 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atbalsts ir tieši tendēts uz MVU iespējām veicināt ilgtspējīgu izaugsmi, konkurētspēju un darba 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atbalsts ir tieši tendēts uz MVU iespējām veicināt ilgtspējīgu izaugsmi, konkurētspēju un darba 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2013.gada 18.decembra Regulu (ES) Nr. 1408/2013 par Līguma par Eiropas Savienības darbību 107. un 108. panta piemērošanu de minimis atbalstam lauksaimniecības nozarē (turpmāk – Komisijas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2013.gada 18.decembra Regulu (ES) Nr. 1408/2013 par Līguma par Eiropas Savienības darbību 107. un 108. panta piemērošanu de minimis atbalstam lauksaimniecības nozarē (turpmāk – Komisijas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 32.1. apakšpunkts;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Ekonomikas ministrija, Finanšu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publicēti pēc sabiedrības līdzdalības noslēgšanās. Sabiedrības līdzdalība norisinās no 2025.gada 10.aprīļa līdz 25.aprīlim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rīks palīdz atbalstīt Uzņēmējdarbību, tad iespējama tieša korelācija ar darba vietu radīšanu, kas tiešā veidā var pozitīvi ietekmēt iedzivotāju sociālo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rīks palīdz atbalstīt Uzņēmējdarbību, tad iespējama tieša korelācija ar darba vietu radīšanu, kas tiešā veidā var pozitīvi ietekmēt personu ar invaliditāti vienlīdzīgām iespējām un tiesībām.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rīks palīdz atbalstīt Uzņēmējdarbību, tad iespējama tieša korelācija ar darba vietu radīšanu, kas tiešā veidā var pozitīvi ietekmēt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25-TA-782</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25-TA-782</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anotācija_(ex_ante)_25-TA-782.docx</dc:title>
</cp:coreProperties>
</file>

<file path=docProps/custom.xml><?xml version="1.0" encoding="utf-8"?>
<Properties xmlns="http://schemas.openxmlformats.org/officeDocument/2006/custom-properties" xmlns:vt="http://schemas.openxmlformats.org/officeDocument/2006/docPropsVTypes"/>
</file>