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"Grozījumi Privāto pensiju fondu likumā"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“Grozījumi Privāto pensiju fondu likumā” (turpmāk - Likumprojekts) izstrādāts, lai pārņemtu Eiropas Parlamenta un Padomes 2022. gada 14. decembra direktīvas (ES) 2022/2556 ar ko groza Direktīvas 2009/65/EK, 2009/138/EK, 2011/61/ES, 2013/36/ES, 2014/59/ES, 2014/65/ES, (ES) 2015/2366 un (ES) 2016/2341 attiecībā uz finanšu nozares digitālās darbības noturību (turpmāk – Direktīva Nr. 2022/2556).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mērķis ir pārņemt Direktīvas Nr. 2022/2556 8. pantu.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Direktīvas Nr. 2022/2556 8. panta pārņemšana ir sistēmiski saistīta ar Eiropas Parlamenta un Padomes 2022. gada 14. decembra Regulas (ES) 2022/2554 par finanšu nozares digitālās darbības noturību un ar ko groza Regulas (EK) Nr. 1060/2009, (ES) Nr. 648/2012, (ES) Nr. 600/2014, (ES) Nr. 909/2014 un (ES) 2016/1011 (turpmāk – Regula Nr. 2022/2554) tiešas piemērošanas nodrošināšanu.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Regula Nr. 2022/2554 paredz digitālās darbības noturības prasību piemērošanu finanšu tirgus dalībniekiem un Direktīva Nr. 2022/2556 ir minētās regulas pakārtotais normatīvais akts. Regulas Nr. 2022/2554 prasību ieviešanu nodrošina likumprojekts “Finanšu tirgus digitālās darbības noturības likums”, savukārt, lai pārņemtu Direktīvas Nr. 2022/2556 8. pantu, ir jāveic precizējumi Privāto pensiju fondu likumā.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1. pants paredz tehnisku grozījumu Privāto pensiju fondu likuma 11. panta septītajā daļā, precizējot terminoloģiju, proti, "informācijas tehnoloģijas" tiek aizstāts ar "tīklu un informācijas sistēmas".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2. pants papildina Privāto pensiju fondu likuma 20. pantu ar 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daļu, kura paredz pensiju fondam izveidot tīklu un informācijas sistēmu atbilstoši Regulas Nr. 2022/2554. Ar minēto grozījumu tiek pārņemts Direktīvas Nr. 2022/2556 8. pants.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papildina arī informatīvo atsauci uz Eiropas Savienības direktīvām ar atsauci uz Direktīvu Nr. 2022/2556.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5.1. Saistības pret Eiropas Savienību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CELEX numurs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32022L2556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datums, izdevējinstitūcija, numurs, veids un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nodrošina Direktīvas Nr. 2022/2556 pārņemšanu.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5.2. Citas starptautiskās saistības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5.4. 1. tabula. Tiesību akta projekta atbilstība ES tiesību aktiem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2410"/>
        <w:gridCol w:w="2410"/>
        <w:gridCol w:w="2410"/>
        <w:gridCol w:w="2410"/>
        <w:tblGridChange w:id="0">
          <w:tblGrid>
            <w:gridCol w:w="2410"/>
            <w:gridCol w:w="2410"/>
            <w:gridCol w:w="2410"/>
            <w:gridCol w:w="241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Attiecīgā ES tiesību akta datums, izdevējinstitūcija, numurs, veids un nosaukums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ES TA panta numurs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Projekta vienība, kas pārņem vai ievieš A minēto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Tiek pārņemts pilnībā vai daļēji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Vai B minētais paredz stingrākas prasības un pamatojums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B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C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D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Nr. 2022/2556 8. pants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Likumprojekta 1. pants, likuma 20. panta 3.</w:t>
            </w:r>
            <w:r w:rsidR="00000000" w:rsidRPr="00000000" w:rsidDel="00000000">
              <w:rPr>
                <w:sz w:val="24"/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sz w:val="24"/>
                <w:rtl w:val="0"/>
              </w:rPr>
              <w:t xml:space="preserve"> daļa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Likumprojekts nenosaka stingrākas prasības kā ES tiesību akts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Kā ir izmantota ES tiesību aktā paredzētā rīcības brīvība dalībvalstij pārņemt vai ieviest noteiktas ES tiesību akta normas? Kādēļ?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Saistības sniegt paziņojumu ES institūcijām un ES dalībvalstīm atbilstoši normatīvajiem aktiem, kas regulē informācijas sniegšanu par tehnisko noteikumu, valsts atbalsta piešķiršanas un finanšu noteikumu (attiecībā uz monetāro politiku) projektiem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Cita informācija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Veids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Publiskā apspriešana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Saite uz sabiedrības līdzdalības rezultātiem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24-TA-2444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24-TA-2444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