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Finanšu instrumentu tirgus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Finanšu instrumentu tirgus likumā” (turpmāk - Likumprojekts) izstrādāts, lai pārņemtu Eiropas Parlamenta un Padomes 2022. gada 14. decembra direktīvu (ES) 2022/2556 ar ko groza Direktīvas 2009/65/EK, 2009/138/EK, 2011/61/ES, 2013/36/ES, 2014/59/ES, 2014/65/ES, (ES) 2015/2366 un (ES) 2016/2341 attiecībā uz finanšu nozares digitālās darbības noturību (turpmāk – Direktīva Nr. 2022/2556).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regulētā tirgus organizētājiem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noteikta, jo saskaņā ar Direktīvas Nr. 2022/2556 9. pantu, minētās direktīvas prasības piemēro no 2025. gada 17. janvāra.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2022/2556 6. panta pārņemšana ir sistēmiski saistīta ar Regulas Nr. 2022/2554) tiešas piemērošanas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paredz digitālās darbības noturības prasību piemērošanu finanšu tirgus dalībniekiem un Direktīva Nr. 2022/2556 ir minētās regulas pakārtotais normatīvais akts. Regulas Nr. 2022/2554 prasību ieviešanu nodrošina likumprojekts “Finanšu tirgus digitālās darbības noturības un mākslīgā intelekta izmantošanas likums” (24-TA-2371), savukārt, lai pārņemtu Direktīvas Nr. 2022/2556 6. pantu, ir jāveic precizējumi Finanšu instrumentu tirgus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precizē Finanšu instrumentu tirgus likuma 27. panta 2.</w:t>
      </w:r>
      <w:r w:rsidR="00000000" w:rsidRPr="00000000" w:rsidDel="00000000">
        <w:rPr>
          <w:vertAlign w:val="superscript"/>
          <w:rtl w:val="0"/>
        </w:rPr>
        <w:t xml:space="preserve">1</w:t>
      </w:r>
      <w:r w:rsidR="00000000" w:rsidRPr="00000000" w:rsidDel="00000000">
        <w:rPr>
          <w:rtl w:val="0"/>
        </w:rPr>
        <w:t xml:space="preserve"> daļas 2. punktu, proti, regulētā tirgus organizētājam ir jāidentificē riski arī saistībā ar Regulas Nr. 2022/2554 II nodaļas prasībām, tādejādi pārņemot Direktīvas Nr. 2022/2556 6. panta 3. punkta "a" apakšpunktu. Tāpat tiek izslēgts Finanšu instrumentu tirgus likuma 27. panta 2.</w:t>
      </w:r>
      <w:r w:rsidR="00000000" w:rsidRPr="00000000" w:rsidDel="00000000">
        <w:rPr>
          <w:vertAlign w:val="superscript"/>
          <w:rtl w:val="0"/>
        </w:rPr>
        <w:t xml:space="preserve">1</w:t>
      </w:r>
      <w:r w:rsidR="00000000" w:rsidRPr="00000000" w:rsidDel="00000000">
        <w:rPr>
          <w:rtl w:val="0"/>
        </w:rPr>
        <w:t xml:space="preserve"> daļas 3. punkts, tādejādi pārņemot direktīvas Nr. 2022/2556 6. panta 3. punkta "b" apakšpunktu. Papildus tehniski tiek precizēta Finanšu instrumentu tirgus likuma 27. panta devītā daļa, saīsinot terminu "zvērināta revidenta vai zvērinātu revidentu komercsabiedrības". Precizējums ir saistīts ar likumprojekta 3. pantu, kurā attiecīgi tiek precizēts Finanšu instrumentu tirgus likuma 55.</w:t>
      </w:r>
      <w:r w:rsidR="00000000" w:rsidRPr="00000000" w:rsidDel="00000000">
        <w:rPr>
          <w:vertAlign w:val="superscript"/>
          <w:rtl w:val="0"/>
        </w:rPr>
        <w:t xml:space="preserve">3</w:t>
      </w:r>
      <w:r w:rsidR="00000000" w:rsidRPr="00000000" w:rsidDel="00000000">
        <w:rPr>
          <w:rtl w:val="0"/>
        </w:rPr>
        <w:t xml:space="preserve"> 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paredz papildināt Finanšu instrumentu tirgus likuma 35.</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pārņemot Direktīvas nr. 2022/2556 6. panta 4. punkta "a" apakšpunktu, nosakot, ka regulētā tirgus organizētājs nodrošina Finanšu instrumentu tirgus likuma 35.</w:t>
      </w:r>
      <w:r w:rsidR="00000000" w:rsidRPr="00000000" w:rsidDel="00000000">
        <w:rPr>
          <w:vertAlign w:val="superscript"/>
          <w:rtl w:val="0"/>
        </w:rPr>
        <w:t xml:space="preserve">1</w:t>
      </w:r>
      <w:r w:rsidR="00000000" w:rsidRPr="00000000" w:rsidDel="00000000">
        <w:rPr>
          <w:rtl w:val="0"/>
        </w:rPr>
        <w:t xml:space="preserve"> panta pirmajā daļā minēto sistēmu, procedūru un noteikumu, komercdarbības nepārtrauktības noteikumu atbilstību regulas Nr. 2022/2554 prasībām. Tāpat Finanšu instrumentu tirgus likuma 35.</w:t>
      </w:r>
      <w:r w:rsidR="00000000" w:rsidRPr="00000000" w:rsidDel="00000000">
        <w:rPr>
          <w:vertAlign w:val="superscript"/>
          <w:rtl w:val="0"/>
        </w:rPr>
        <w:t xml:space="preserve">1</w:t>
      </w:r>
      <w:r w:rsidR="00000000" w:rsidRPr="00000000" w:rsidDel="00000000">
        <w:rPr>
          <w:rtl w:val="0"/>
        </w:rPr>
        <w:t xml:space="preserve"> pants tiek papildināts ar 9.</w:t>
      </w:r>
      <w:r w:rsidR="00000000" w:rsidRPr="00000000" w:rsidDel="00000000">
        <w:rPr>
          <w:vertAlign w:val="superscript"/>
          <w:rtl w:val="0"/>
        </w:rPr>
        <w:t xml:space="preserve">1</w:t>
      </w:r>
      <w:r w:rsidR="00000000" w:rsidRPr="00000000" w:rsidDel="00000000">
        <w:rPr>
          <w:rtl w:val="0"/>
        </w:rPr>
        <w:t xml:space="preserve"> daļu, nosakot, ka regulētā tirgus organizētājs nodrošina algoritmu pārbaudes un testu atbilstību Regulas Nr. 2022/2554 prasībām. Minētais grozījums pārņem Direktīvas Nr. 2022/2556 6. panta 4. 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tehniski precizē Finanšu instrumentu tirgus likuma 55.</w:t>
      </w:r>
      <w:r w:rsidR="00000000" w:rsidRPr="00000000" w:rsidDel="00000000">
        <w:rPr>
          <w:vertAlign w:val="superscript"/>
          <w:rtl w:val="0"/>
        </w:rPr>
        <w:t xml:space="preserve">3</w:t>
      </w:r>
      <w:r w:rsidR="00000000" w:rsidRPr="00000000" w:rsidDel="00000000">
        <w:rPr>
          <w:rtl w:val="0"/>
        </w:rPr>
        <w:t xml:space="preserve"> panta pirmās daļas 3. punktu, jo ar likumprojekta 1. pantu, proti, precizējumu Finanšu instrumentu tirgus likuma 27. panta devītajā daļā, termins "zvērināta revidenta vai zvērinātu revidentu komercsabiedrība" tiek saīsināts vietā, kur tas tiek lietots sākotnēji.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pants papildina Finanšu instrumentu tirgus likuma 126.</w:t>
      </w:r>
      <w:r w:rsidR="00000000" w:rsidRPr="00000000" w:rsidDel="00000000">
        <w:rPr>
          <w:vertAlign w:val="superscript"/>
          <w:rtl w:val="0"/>
        </w:rPr>
        <w:t xml:space="preserve">2</w:t>
      </w:r>
      <w:r w:rsidR="00000000" w:rsidRPr="00000000" w:rsidDel="00000000">
        <w:rPr>
          <w:rtl w:val="0"/>
        </w:rPr>
        <w:t xml:space="preserve"> pantu ar 12.</w:t>
      </w:r>
      <w:r w:rsidR="00000000" w:rsidRPr="00000000" w:rsidDel="00000000">
        <w:rPr>
          <w:vertAlign w:val="superscript"/>
          <w:rtl w:val="0"/>
        </w:rPr>
        <w:t xml:space="preserve">3</w:t>
      </w:r>
      <w:r w:rsidR="00000000" w:rsidRPr="00000000" w:rsidDel="00000000">
        <w:rPr>
          <w:rtl w:val="0"/>
        </w:rPr>
        <w:t xml:space="preserve"> un 12.</w:t>
      </w:r>
      <w:r w:rsidR="00000000" w:rsidRPr="00000000" w:rsidDel="00000000">
        <w:rPr>
          <w:vertAlign w:val="superscript"/>
          <w:rtl w:val="0"/>
        </w:rPr>
        <w:t xml:space="preserve">4</w:t>
      </w:r>
      <w:r w:rsidR="00000000" w:rsidRPr="00000000" w:rsidDel="00000000">
        <w:rPr>
          <w:rtl w:val="0"/>
        </w:rPr>
        <w:t xml:space="preserve"> daļu, proti, Eiropas Parlamenta un Padomes 2014. gada 26. novembra Regulas (ES) Nr. 1286/2014 par komplektētu privāto ieguldījumu un apdrošināšanas ieguldījumu produktu pamatinformācijas dokumentiem (turpmāk – Regula Nr. 1286/2014) 7. pantā noteiktas prasības privātiem klientiem piedāvāto komplektētu ieguldījumu produktu (turpmāk – PRIIP produkts) pamatinformācijas dokumenta sagatavošanai – pamatinformācijas dokuments jāsagatavo dalībvalsts oficiālajā valodā vai arī citā valodā, ko atzinušas par pieņemamu dalībvalsts 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PRIIP produkta pamatinformācijas dokumenta sagatavošana angļu valodā ir aktuāla ieguldījumu brokeru sabiedrībai vai kredītiestādei, kas nodrošina iespēju privātiem klientiem pēc viņu iniciatīvas iegādāties citā dalībvalstī reģistrēta ieguldījumu fonda ieguldījumu apliecības, izmantojot iestādes sniegto rīkojumu pieņemšanas un nosūtīšanas pakalpojumu attiecībā uz vienu vai vairākiem finanšu instrumentiem bez ieguldījumu konsultācijas saņemšanas atbilstoši Finanšu instrumentu tirgus likuma 126.2 panta divpadsmitajai daļai. Šādas ieguldījumu fonda ieguldījumu apliecības netiek publiski izplatītas Latvijā saskaņā ar Ieguldījumu pārvaldes sabiedrību likuma 77.</w:t>
      </w:r>
      <w:r w:rsidR="00000000" w:rsidRPr="00000000" w:rsidDel="00000000">
        <w:rPr>
          <w:vertAlign w:val="superscript"/>
          <w:rtl w:val="0"/>
        </w:rPr>
        <w:t xml:space="preserve">3</w:t>
      </w:r>
      <w:r w:rsidR="00000000" w:rsidRPr="00000000" w:rsidDel="00000000">
        <w:rPr>
          <w:rtl w:val="0"/>
        </w:rPr>
        <w:t xml:space="preserve"> pantu, ieguldījumu brokeru sabiedrībai vai kredītiestādei nav nodoma kļūt par šāda fonda izplatītāju Latvijā, un šāda fonda ieguldītājiem paredzētā pamatinformācija nav pieejama latviešu valodā. Prasība nodrošināt šādu PRIIP produktu pamatinformācijas dokumentu tulkojumu latviešu valodā radītu lielu papildu administratīvo slogu finanšu tirgus dalībniekiem, tādēļ ir lietderīgi ļaut šos dokumentus netulkot latviski.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jautājumu par PRIIP produkta pamatinformācijas dokumenta sagatavošanas valodu regulē Finanšu un kapitāla tirgus komisijas 2020. gada 3. novembra normatīvie noteikumi Nr. 210 "Normatīvie noteikumi par valodas lietošanu pamatinformācijas dokumentā par komplektēto privāto ieguldījumu un apdrošināšanas ieguldījumu produktu" (turpmāk – Noteikumi Nr. 210), kuri ir spēkā līdz 2024.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210 pārskatīšanas procesā secināts, ka šāds regulējums būtu nosakāms likuma līmenī, jo pēc būtības tas paredz izņēmumu no Valsts valodas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pants papildina Finanšu instrumentu tirgus likuma 132.</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nosakot, ka ieguldījumu brokeru sabiedrība un kredītiestāde nodrošina sistēmu un riska kontroles, darbības nepārtrauktības pasākumu, sistēmu pārbaudes, testēšanas un uzraudzības atbilstību Regulas Nr. 2022/2554 prasībām. Minētais grozījums pārņem Direktīvas Nr. 2022/2556 6. panta 2.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arī informatīvo atsauci uz Eiropas Savienības direktīvām ar atsauci uz Direktīvu Nr. 2022/2556.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Regulētā tirgus organizētāji, ieguldījumu brokeru sabiedrības un kredītiestādes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2022/2554 aizstāj esošās infromācijas tehnoloģiju prasības regulētā tirgus organizētājiem, ieguldījumu brokeru sabiedrībām un kredītiestādēm, proti, minētā regula harmonizē un konsolidē prasības attiecībā uz digitālās darbības noturību finanšu tirgus dalībniekiem, lai nodrošinātu konsekventu pieeju minēto prasību piemērošanā visā 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saistīts ar likumprojektu “Finanšu tirgus digitālās darbības noturības un mākslīgā intelekta izmantošanas likums” (24-TA-2371), likumprojektu "Grozījumi Ieguldījumu pārvaldes sabiedrību likumā" (24-TA-2433), likumprojektu "Grozījumi Apdrošināšanas un pārapdrošināšanas likumā" (24-TA-2434), likumprojektu "Grozījumi Alternatīvo ieguldījumu fondu un to pārvaldnieku likumā" (24-TA-2435), likumprojektu "Grozījumi Kredītiestāžu likumā" (24-TA-2436), likumprojektu "Grozījumi Kredītiestāžu un ieguldījumu brokeru sabiedrību darbības atjaunošanas un noregulējuma likumā" (24-TA-2440), likumprojektu "Grozījumi Ieguldījumu brokeru sabiedrību likumā" (24-TA-2441), likumprojektu "Grozījumi Maksājumu pakalpojumu un elektroniskās naudas likumā" (24-TA-2443) un likumprojektu "Grozījumi Privāto pensiju fondu likumā" (24-TA-2444).</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32022L2556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Direktīvas Nr. 2022/2556 pārņemšanu.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32014R1286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2014. gada 26. novembra Regula (ES) Nr. 1286/2014 par komplektētu privāto ieguldījumu un apdrošināšanas ieguldījumu produktu (PRIIP) pamatinformācijas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nodrošina Regulas Nr. 1286/2014 7. panta ieviešanu.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2022/2556 ar ko groza Direktīvas 2009/65/EK, 2009/138/EK, 2011/61/ES, 2013/36/ES, 2014/59/ES, 2014/65/ES, (ES) 2015/2366 un (ES) 2016/2341 attiecībā uz finanšu nozares digitālās darbības noturību.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pārvaldes sabiedrību likuma 13. panta pirmās daļas 4.</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Apdrošināšanas un pārapdrošināšanas likuma 54.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Alternatīvo ieguldījumu fondu un to pārvaldnieku likuma 22. panta otrās daļas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w:t>
            </w:r>
            <w:r w:rsidR="00000000" w:rsidRPr="00000000" w:rsidDel="00000000">
              <w:rPr>
                <w:sz w:val="24"/>
                <w:vertAlign w:val="superscript"/>
                <w:rtl w:val="0"/>
              </w:rPr>
              <w:t xml:space="preserve">1</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34.</w:t>
            </w:r>
            <w:r w:rsidR="00000000" w:rsidRPr="00000000" w:rsidDel="00000000">
              <w:rPr>
                <w:sz w:val="24"/>
                <w:vertAlign w:val="superscript"/>
                <w:rtl w:val="0"/>
              </w:rPr>
              <w:t xml:space="preserve">2</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likuma 101.</w:t>
            </w:r>
            <w:r w:rsidR="00000000" w:rsidRPr="00000000" w:rsidDel="00000000">
              <w:rPr>
                <w:sz w:val="24"/>
                <w:vertAlign w:val="superscript"/>
                <w:rtl w:val="0"/>
              </w:rPr>
              <w:t xml:space="preserve">3</w:t>
            </w:r>
            <w:r w:rsidR="00000000" w:rsidRPr="00000000" w:rsidDel="00000000">
              <w:rPr>
                <w:sz w:val="24"/>
                <w:rtl w:val="0"/>
              </w:rPr>
              <w:t xml:space="preserve">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11. panta sestās daļas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5. panta 2. punkta "a", "b",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Kredītiestāžu un ieguldījumu brokeru sabiedrību darbības atjaunošanas un noregulējuma likuma 5.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Ieguldījumu brokeru sabiedrību likuma 31.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132.</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27. panta 2.</w:t>
            </w:r>
            <w:r w:rsidR="00000000" w:rsidRPr="00000000" w:rsidDel="00000000">
              <w:rPr>
                <w:sz w:val="24"/>
                <w:vertAlign w:val="superscript"/>
                <w:rtl w:val="0"/>
              </w:rPr>
              <w:t xml:space="preserve">1</w:t>
            </w:r>
            <w:r w:rsidR="00000000" w:rsidRPr="00000000" w:rsidDel="00000000">
              <w:rPr>
                <w:sz w:val="24"/>
                <w:rtl w:val="0"/>
              </w:rPr>
              <w:t xml:space="preserve">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1.</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6.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Finanšu instrumentu tirgus likuma 35.</w:t>
            </w:r>
            <w:r w:rsidR="00000000" w:rsidRPr="00000000" w:rsidDel="00000000">
              <w:rPr>
                <w:sz w:val="24"/>
                <w:vertAlign w:val="superscript"/>
                <w:rtl w:val="0"/>
              </w:rPr>
              <w:t xml:space="preserve">1</w:t>
            </w:r>
            <w:r w:rsidR="00000000" w:rsidRPr="00000000" w:rsidDel="00000000">
              <w:rPr>
                <w:sz w:val="24"/>
                <w:rtl w:val="0"/>
              </w:rPr>
              <w:t xml:space="preserve"> panta 9.</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3. panta pirmās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"a" apakšpunkta 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pirmās daļas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11.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29.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1</w:t>
            </w:r>
            <w:r w:rsidR="00000000" w:rsidRPr="00000000" w:rsidDel="00000000">
              <w:rPr>
                <w:sz w:val="24"/>
                <w:rtl w:val="0"/>
              </w:rPr>
              <w:t xml:space="preserve"> panta otrā,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Maksājumu pakalpojumu un elektroniskās naudas likuma 104.</w:t>
            </w:r>
            <w:r w:rsidR="00000000" w:rsidRPr="00000000" w:rsidDel="00000000">
              <w:rPr>
                <w:sz w:val="24"/>
                <w:vertAlign w:val="superscript"/>
                <w:rtl w:val="0"/>
              </w:rPr>
              <w:t xml:space="preserve">2</w:t>
            </w:r>
            <w:r w:rsidR="00000000" w:rsidRPr="00000000" w:rsidDel="00000000">
              <w:rPr>
                <w:sz w:val="24"/>
                <w:rtl w:val="0"/>
              </w:rPr>
              <w:t xml:space="preserve"> panta trešā, ceturtā,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Nr. 2022/2556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Privāto pensiju fondu likuma 20. panta 3.</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2014. gada 26. novembra Regula (ES) Nr. 1286/2014 par komplektētu privāto ieguldījumu un apdrošināšanas ieguldījumu produktu (PRIIP) pamatinformācijas dokumentiem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1286/2014 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likuma 126.</w:t>
            </w:r>
            <w:r w:rsidR="00000000" w:rsidRPr="00000000" w:rsidDel="00000000">
              <w:rPr>
                <w:sz w:val="24"/>
                <w:vertAlign w:val="superscript"/>
                <w:rtl w:val="0"/>
              </w:rPr>
              <w:t xml:space="preserve">2</w:t>
            </w:r>
            <w:r w:rsidR="00000000" w:rsidRPr="00000000" w:rsidDel="00000000">
              <w:rPr>
                <w:sz w:val="24"/>
                <w:rtl w:val="0"/>
              </w:rPr>
              <w:t xml:space="preserve"> panta 12.</w:t>
            </w:r>
            <w:r w:rsidR="00000000" w:rsidRPr="00000000" w:rsidDel="00000000">
              <w:rPr>
                <w:sz w:val="24"/>
                <w:vertAlign w:val="superscript"/>
                <w:rtl w:val="0"/>
              </w:rPr>
              <w:t xml:space="preserve">3</w:t>
            </w:r>
            <w:r w:rsidR="00000000" w:rsidRPr="00000000" w:rsidDel="00000000">
              <w:rPr>
                <w:sz w:val="24"/>
                <w:rtl w:val="0"/>
              </w:rPr>
              <w:t xml:space="preserve"> un 12.</w:t>
            </w:r>
            <w:r w:rsidR="00000000" w:rsidRPr="00000000" w:rsidDel="00000000">
              <w:rPr>
                <w:sz w:val="24"/>
                <w:vertAlign w:val="superscript"/>
                <w:rtl w:val="0"/>
              </w:rPr>
              <w:t xml:space="preserve">4</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nenosaka stingrākas prasības kā ES tiesību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https://tapportals.mk.gov.lv/public_participation/be17e1d1-53bf-4aa0-9765-5ab5e0d406ff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2024. gada 18. oktobrī. Komentāri, iebildumi vai priekšlikumi par likumprojektu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24-TA-2442</w:t>
    </w:r>
    <w:r>
      <w:br/>
    </w:r>
    <w:r w:rsidR="00000000" w:rsidRPr="00000000" w:rsidDel="00000000">
      <w:rPr>
        <w:rtl w:val="0"/>
      </w:rPr>
      <w:t xml:space="preserve">Izdrukāts 29.07.2026. 23.48 - 5.0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24-TA-2442</w:t>
    </w:r>
    <w:r>
      <w:br/>
    </w:r>
    <w:r w:rsidR="00000000" w:rsidRPr="00000000" w:rsidDel="00000000">
      <w:rPr>
        <w:rtl w:val="0"/>
      </w:rPr>
      <w:t xml:space="preserve">Izdrukāts 29.07.2026. 23.48 - 5.0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anotācija_(ex_ante)_24-TA-2442.docx</dc:title>
</cp:coreProperties>
</file>

<file path=docProps/custom.xml><?xml version="1.0" encoding="utf-8"?>
<Properties xmlns="http://schemas.openxmlformats.org/officeDocument/2006/custom-properties" xmlns:vt="http://schemas.openxmlformats.org/officeDocument/2006/docPropsVTypes"/>
</file>