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22. oktobra noteikumos Nr. 664 "Kārtība, kādā Aizsardzības ministrija īsteno projektu konkursus militāru vai divējāda lietojuma produktu attīstības atbalstam""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2025. gada 22. aprīļa rīkojumu Nr. 221 "Par finansējuma piešķiršanu Rīgas Tehniskajai universitātei, Latvijas Biozinātņu un tehnoloģiju universitātei, Latvijas Universitātei un Rīgas Stradiņa universitātei aizsardzības pirmsakcelerācijas programmas īstenošanai 2025. un 2026. gadā" (turpmāk – Rīkojums Nr. 221), Aizsardzības ministrija (turpmāk - Ministrija) strādā pie grantu mehānisma izveides jaunuzņēmumu atbalstam militāru vai divējāda lietojuma produktu attīstībai pirmsakcelerācijas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Secināts, ka nepieciešams veikt grozījumus Ministru kabineta 2024. gada 22. oktobra noteikumos Nr. 664 "Kārtība, kādā Aizsardzības ministrija īsteno projektu konkursus militāru vai divējāda lietojuma produktu attīstības atbalstam" (turpmāk – Noteikumi Nr. 664), lai tajos </w:t>
      </w:r>
      <w:r w:rsidR="00000000" w:rsidRPr="00000000" w:rsidDel="00000000">
        <w:rPr>
          <w:b w:val="1"/>
          <w:rtl w:val="0"/>
        </w:rPr>
        <w:t xml:space="preserve">iekļautu pirmsakcelerācijas grantu mehānismu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664 nepieciešams arī precizēt atsevišķus citus atbalsta nosacījumus un veikt tehniskos labojumus (t.sk. institūciju nosaukumu maiņu).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ar grozījumiem Noteikumos Nr. 664 noteikt: 1) pirmsakcelerācijas grantu mehānismu;  2) atbalsta nosacījumus militāra lietojuma produktu attīstībai, to piešķirot saskaņā ar LESD 346. pantu, tam nepiemērojot komercdarbības atbalsta regulējumu; 3) uzņēmumu konsorciju, kā atbalsta saņēmēju formu; 4) iespējas projektu īstenošanā sadarboties ar Ukrainu.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664 pašreizējā redakcijā paredz: kārtību, kādā Ministrija īsteno projektu konkursus militāru vai divējāda lietojuma produktu attīstības atbalstam, tostarp, ka atbalsts tiek piešķirts </w:t>
      </w:r>
      <w:r w:rsidR="00000000" w:rsidRPr="00000000" w:rsidDel="00000000">
        <w:rPr>
          <w:i w:val="1"/>
          <w:rtl w:val="0"/>
        </w:rPr>
        <w:t xml:space="preserve">de minimis</w:t>
      </w:r>
      <w:r w:rsidR="00000000" w:rsidRPr="00000000" w:rsidDel="00000000">
        <w:rPr>
          <w:rtl w:val="0"/>
        </w:rPr>
        <w:t xml:space="preserve"> apjomā; to, ka projekta iesniedzējs var būt Latvijas Republikā reģistrēts viens uzņēmums; projekta iesniedzēja dalībnieki var būt juridiskas personas, kas reģistrētas Latvijas Republikā, kādā no Eiropas Savienības, Eiropas Ekonomikas zonas, Ziemeļatlantijas līguma organizācijas dalībvalstīm.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secinājusi, ka pirmsakcelerācijas grantu konkursu mehānisms pēc būtības dublē esošo projektu konkursu kārtību, tāpēc loģiskā virzība būtu iekļaut šo mehānismu esošajos Noteikumos Nr. 664.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"Aizsardzības industrijas un inovāciju atbalsta stratēģija 2025 - 2036" nacionālā </w:t>
      </w:r>
      <w:r w:rsidR="00000000" w:rsidRPr="00000000" w:rsidDel="00000000">
        <w:rPr>
          <w:b w:val="1"/>
          <w:rtl w:val="0"/>
        </w:rPr>
        <w:t xml:space="preserve">pirmsakcelerācijas programma </w:t>
      </w:r>
      <w:r w:rsidR="00000000" w:rsidRPr="00000000" w:rsidDel="00000000">
        <w:rPr>
          <w:rtl w:val="0"/>
        </w:rPr>
        <w:t xml:space="preserve">ir noteikta kā atbalsta mehānisms nacionālās aizsardzības ekosistēmas stiprināšanai, aizsardzības industrijas attīstībai un sekmīgai Latvijas integrācijai NATO DIANA akceleratorā. Pirmsakcelerācijas programmas nodrošināšanai paredzēts izveidot institucionālo mehānismu (atbalsta programmas operatoru) un grantu mehānismu. Ieviešot Rīkojumu Nr. 221, četras tajā minētās zinātņu universitātes inovāciju veicināšanas nolūkā ir izveidojušas SIA UniLab. 2024.gada 26.februārī tika parakstīta vienošanās starp NATO DIANA akcelerācijas atbalsta programmu un SIA Unilab, tai kļūstot par NATO DIANA akceleratora operatoru, līdz ar to likumsakarīgi bija SIA Unilab noteikt par Ministrijas pirmakcelerācijas grantu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Pirmsakcelerācijas programmas atbalsta nolūks ir attīstīt jaunuzņēmumu, kuri darbojas militāra vai divējāda lietojuma produktu jomā un kuru TGL ir agrīnā stadijā (TGL3-5), kapacitāti startam akcelerācijas posmā, eventuāli NATO DIANA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ka pirmsakcelerācijas programma nedublēs, bet gan papildinās esošos inovāciju atbalsta mehānismus uzņēmējdarbības dažādos attīstības posmos, t.sk., 1.2.3.1. pasākumu "Atbalsts mazo un vidējo uzņēmumu inovatīvas uzņēmējdarbības attīstībai" (LIAA biznesa inkubācija), kur prasība ir izstrādāts produkts vismaz minimālā dzīvotspējīgā produkta līmenī, kas atbilst vismaz TGL4, un 1.2.1.1. pasākumu "Atbalsts jaunu produktu attīstībai un internacionalizācijai" (CFLA), kur atbalsts tiek sniegts TGL4-8. Ministrijas pirmakcelerācijas programmā uzsvars ir uz tehnoloģiju un inovāciju jaunuzņēmumiem ar augstu mērogojamības potenciālu. Mērķis ir ātri pārbaudīt tehnoloģisko ideju, kas ir pilnveidota TGL3-5 līmenī, izveidot komandu un sagatavoties akcelerācijai.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otrs, Noteikumu Nr. 664 esošajā redakcijā ietvertais, Ministrijas grantu mehānisms  ir vērsts uz atbalstu jau nākamajos MVU inovāciju procesa posmos, līdz pat TGL8, kas rada priekšnoteikumus uzņēmumu tālākajam startam 1.2.1.1. pasākumā, kurā paredzēts atbalsts augstākiem TGL līmeņiem. Visu minēto atbalsta mehānismu konkursu nolikumos, vērtēšanas kritērijos un metodoloģijās ir ietverti nosacījumi, kas ļauj nošķirt pieteikto ideju TGL atbilstību dažādiem atbalsta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  Ministrijas atbalsta mehānismi (to konkursa nolikumos) ietvers uzraudzības mehānismus un prasības dubultās finansēšanas risku novēršanai. Ieviešanas kārtība ir noteikta Ministrijas 2023.gada 29.jūnija noteikumos Nr. 29-NOT "Kārtība, kādā īsteno granta projektu konkursu atlasi, veic projektu uzraudzību, administrēšanu un kontroli" un 2022.gada 14.jūlija noteikumos Nr.24-NOT "Kārtība, kādā Aizsardzības ministrija lemj par militāra vai divējāda lietojuma grantu projektu tālāku attīstību pēc to pabeigšanas un nodrošina to pēcuzraudzību" Pēc Noteikumu Nr. 664 grozījumu stāšanās spēkā, tiks veikti nepieciešamie grozījumi arī 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dubultās finansēšanas risku novēršanai ir ietvertas arī projekta pieteicēja apliecinājumā.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Secināts, ka </w:t>
      </w:r>
      <w:r w:rsidR="00000000" w:rsidRPr="00000000" w:rsidDel="00000000">
        <w:rPr>
          <w:i w:val="1"/>
          <w:rtl w:val="0"/>
        </w:rPr>
        <w:t xml:space="preserve">de minimis</w:t>
      </w:r>
      <w:r w:rsidR="00000000" w:rsidRPr="00000000" w:rsidDel="00000000">
        <w:rPr>
          <w:rtl w:val="0"/>
        </w:rPr>
        <w:t xml:space="preserve"> atbalsta apjoms nenodrošina pilnvērtīgu iespēju attīstīt valsts drošības interesēm nozīmīgus militāra lietojuma produktus un tehnoloģijas. Grantu konkursos nav izmantota tā iespēja valsts būtisko drošības interešu nodrošināšanai, ko paredz LESD 346. panta 1. punkta "b" apakšpunkta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Pašreizējā Noteikumu Nr. 664 redakcijā projekta iesniedzējs ir uzņēmums. Paplašinot iespējas pieteikties arī uzņēmumu apvienībai (konsorcijam), tiks stiprināta aizsardzības un drošības industrijas ekosistēma.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atbalstu Ukrainai kā politisko prioritāti, nepieciešams nodrošināt, ka Ukrainas partneri var tik iesaistīti grantu konkursos. Pašreizējā Noteikumu Nr. 664 redakcija ierobežo dalībnieku ģeogrāfisko tvērumu. Ņemot vērā jurisdikcijas un datu pieejamības ierobežojumus, kā arī drošības riskus, Noteikumu Nr. 664 grozījumi pieļauj Ukrainas juridisko personu, bet ierobežo fizisko personu iesaisti projekta iesniedzēja dalībnieka statusā. ES un NATO valstīm ir tiesiskā bāze un kopīgas datubāzes tūlītējai personu sodāmības un drošības risku pārbaudei, bet Ukrainas fizisko personu dati pašlaik nav pilnībā integrēti šajās sistēmās. Tāpat tiek ņemti vērā Krievijas ietekmes un spiegošanas riski attiecība uz Ukrainas fiziskām personām. Savukārt Ukrainas uzņēmumu reģistri ir publiski un pārbaudāmi (īpašnieki, nodokļi, sankciju saraksti). Juridiskas personas darbību un finanšu plūsmas drošības dienesti var kontrolēt daudz efektīvāk nekā atsevišķu fizisku personu biogrāfiju.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664 grozījumos ir iekļauts pirmsakcelerācijas grantu mehānisms: definēts programmas tvērums, atbalstāmās darbības, mērķa auditorija un attiecināmās izmaksas. Atbalstu piešķir, pamatojoties uz līdzfinansējuma principu, kas šajā programmā var sasniegt 100 %.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no Ministrijas grantu ieviešanas mehānismiem ir noteikts atbalsta programmas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inovācijas grantu projekta konkursa pārvaldību veiks reorganizētais Valsts aizsardzības loģistikas un iepirkumu centra Aizsardzības tehnoloģiju inovāciju centrs (turpmāk – ATIC), kura pilna mēroga darbība, atbilstībā Ministrijas ieviestajai inovāciju pārvaldības reformai, tiks uzsākta 2026. gada 1. septembrī. Līdz ar to noteikta atsevišķu kompetenču, kas attiecas uz pieteikumu izvērtēšanu un grantu uzraudzību, pārdale no Ministrijas uz ATIC.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pirmsakcelerācijas programmas grantu konkursa faktisko ieviešanu veiks SIA UniLab. Tas ietver grantu konkursa sagatavošanu, vērtēšanu,  īstenošanu un pēcuzraudzību. SIA Unilab darbosies kā starpnieks starp Ministriju un akcelerācijas programmas dalībniekiem – gala labuma saņēmējiem (jaunuzņēmumiem) un negūs labumu no  akcelerācijas programmai piešķirtā publiskā finansējuma, un šīs programmas ietvaros tas nav kvalificējams kā komercdarbības atbalsta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Pieejas maiņas rezultātā, ieviešot Rīkojumu Nr. 221, noteikts, ka Ministrija būs piešķīrējiestāde abos gadījumus – gan akcelerācijas programmas, gan inovāciju grantu mehānisma ietvaros. Atbalsta programmas operators nodrošina grantu konkursu pilna cikla pārvaldību (no konkursa nolikuma un vērtēšanas kritēriju un metodikas izstrādes, līdz projektu iesniegumu izvērtēšanai, līgumu sagatavošanai, atbilstības pārbaudēm un  ieviešanas uzraudzībai), taču lēmuma pieņemšana par grantu piešķiršanu paliek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Noteikta atbalsta kārtība militāra lietojuma produktu attīstībai, piemērojot LESD 346. panta 1. punkta "b" apakšpunktu. Šādam atbalstam nav jāpiemēro komercdarbības atbalsta regulējuma nosacījumi (skat. Komisijas paziņojuma par LESD 107. panta 1. punktā minēto valsts atbalsta jēdzienu (2016/C 262/01) 17. punktu). Tomēr jāņem vērā arī LESD 346. panta 2. pants, kas atsaucas uz </w:t>
      </w:r>
      <w:r w:rsidR="00000000" w:rsidRPr="00000000" w:rsidDel="00000000">
        <w:rPr>
          <w:u w:val="single"/>
          <w:rtl w:val="0"/>
        </w:rPr>
        <w:t xml:space="preserve">sarakstu</w:t>
      </w:r>
      <w:r w:rsidR="00000000" w:rsidRPr="00000000" w:rsidDel="00000000">
        <w:rPr>
          <w:rtl w:val="0"/>
        </w:rPr>
        <w:t xml:space="preserve">, uz kuru attiecas šī panta 1. punkta "b" apakšpunkts, un uz Padomes tiesībām grozīt šo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munīcijas un militārā aprīkojuma saraksts tika izveidots ar Padomes 1958. gada 15. aprīļa Lēmumu Nr. 255/58, un tas tiek papildināts reizi gadā atbilstoši izmaiņām, kas tiek veiktas Vasenāras vienošanās eksporta kontroles režīmā. Patlaban spēkā ir Eiropas Savienības kopējais militāro preču saraksts, kas pieņemts Padomē 2025. gada 24. februārī (uz kuru attiecas Padomes Kopējā nostāja 2008/944/KĀDP, ar ko izveido kopīgus noteikumus, kas reglamentē militāru tehnoloģiju un ekipējuma eksporta kontroli), ar šo sarakstu atjaunina un aizvieto Eiropas Savienības Kopējo militāro preču sarakstu, ko Padome pieņēma 2024. gada 19. februārī (C/2025/1499).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Stratēģisko preču apriti Latvijas Republikā regulē Stratēģiskas nozīmes preču aprites likums, kura 1.panta 1. daļā ir atsauce uz šo Eiropas Savienības Kopējo militāro preču sarakstu. Aktuālais saraksts tiek publicēts Ministrijas tīmekļa vietnē, tas tiks ietverts grantu konkursa nolikumā kā pielikums. Piesakoties konkursam, pieteikumu iesniedzējiem būs jāpārliecinās par atbilstību sarakstam. Atbilstības pārbaudes nosacījumi šai prasībai tiks ietverti konkursa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Atbilstības nosacījumi papildināti ar normu, ka projekta iesniedzējs var būt arī uzņēmumu apvienība (konsorcijs), kuras katrs no dalībniekiem atbilst tiem pašiem noteikumiem, kā projekta iesniedzējs. Projekta iesniedzējam attiecībā uz konsorcija partneriem ir jāsniedz apliecinājums par to atbilstību nolikuma prasībām. Grozījumu projekts paredz, ka atbalsta programmas operators var pieprasīt konsorcija partnerim apliecinājumu par tā individuāli atbilstību prasībām, ja to pārbaudi ārvalstu publiskos reģistros vai nodokļu administrācijās nav iespējams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izvērtēšanas procesu jāpaskaidro, ja atbalsta programmas operators valsts informācijas sistēmās, datubāzēs vai citā ceļā nevarēs iegūt informāciju, lai izvērtētu projekta iesniedzēja atbilstību šo noteikumu prasībām, tas informēs Aizsardzības ministriju, kas pieņems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ģeopolitisko situāciju, atbilstības nosacījumi projekta iesniedzēja dalībnieku ģeogrāfiskajam tvērumam ir papildināti, nosakot, ka Ukrainas juridiskās personas (uzņēmumi un pētniecības iestādes) ir atbilstoši projekta iesniedzēja dalībnieki, vienlaikus tie nevar būt konsorcija vadošie partneri. Projekta iesniedzējam, uzaicinot citu valstu partnerus, ir jāpārliecinās iespēju robežās par to atbilstību šo noteikumu un nolikuma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veikti arī redakcionāli labojumi, pielāgojot attiecīgo terminoloģiju, piemēram, lietojot latvisko saīsinājumu TGL (tehnoloģiju gatavības līmenis), kā arī precizējot nepieciešamos tiesiskos regulējumus un iestāžu nosaukumus.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iespēja veidot jaunu Ministru kabineta noteikumu projektu, kur saturiskās izmaiņas ir maznozīmīgas, tāpēc izlemts atteikties no šīs ieceres un veidot vienus noteikumus, kas ietver abus Aizsardzības ministrijas atbalsta mehānismus.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sniegts atbalsts pirmām kārtām aizsardzības nozares uzņēmumiem (jaunuzņēmumiem, MVU) dažādās to attīstības stadijās un tehnoloģiju gatavības līmeņos to inovatīvo ideju attīstībai militārā un divejāda pielietojuma sakarā. Tas kopumā pozitīvi ietekmēs nacionālo inovāciju ekosistēmu aizsardzības nozarē un veicinās ideju komercializāciju, radot pienesumu tautsaimniecībā. Vienlaikus tiks stiprināta uzņēmumu konkurētspēja un kapacitāte startiem starptautiskās akcelerācijas programmās (īpaši NATO DIANA), kas dos papildu finansējumu nozarei un kopumā tautsaimniecībai.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 un aizsardzība; obligātā sociālā apdrošināšana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Pirmakcelerācijas programma</w:t>
      </w:r>
      <w:r w:rsidR="00000000" w:rsidRPr="00000000" w:rsidDel="00000000">
        <w:rPr>
          <w:rtl w:val="0"/>
        </w:rPr>
        <w:t xml:space="preserve"> nodrošina būtisku sākuma finansējumu </w:t>
      </w:r>
      <w:r w:rsidR="00000000" w:rsidRPr="00000000" w:rsidDel="00000000">
        <w:rPr>
          <w:b w:val="1"/>
          <w:rtl w:val="0"/>
        </w:rPr>
        <w:t xml:space="preserve">jaunuzņēmumiem</w:t>
      </w:r>
      <w:r w:rsidR="00000000" w:rsidRPr="00000000" w:rsidDel="00000000">
        <w:rPr>
          <w:rtl w:val="0"/>
        </w:rPr>
        <w:t xml:space="preserve">, lai tie spētu attīstīt savas inovatīvās idejas no koncepta (zemākiem tehnoloģiju gatavības līmeņiem) līdz pirmajam prototipam. Tas novērš finansējuma "pārtrūkumu" kritiskajā sākuma fāzē. Šis atbalsts kalpo jaunuzņēmumu kapacitātes audzēšanai, lai tie kļūtu investīcijām pievilcīgi un spētu veiksmīgi kvalificēties un startēt augstāka līmeņa starptautiskajās akcelerācijas programmās (piemēram, NATO DIANA).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pirmakcelerācijas posmā paātrina pētniecības rezultātu un jaunu tehnoloģisko ideju pārtapšanu reālos, komercializējamos aizsardzības vai divējāda lietojuma produktos, palielinot augsto tehnoloģiju uzņēmumu skaitu Latvijā. Atbalsts jaunuzņēmumiem pirmakcelerācijas posmā garantē, ka Latvijā pastāvīgi tiek radīti jauni, pašmāju aizsardzības risinājumi, kas ilgtermiņā mazina atkarību no ārvalstu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Pirmakcelerācijas granti stimulē jaunu inženieru, programmētāju un zinātnieku piesaisti aizsardzības industrijai, radot augsti kvalificētas darba vietas un motivējot jauniešus un jaunos speciālistus palikt un attīstīt savu biznesu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atbalsta programmas ieviešana un pētniecības organizāciju ideju integrācija sniedz spēcīgu impulsu akadēmiskajam sektoram, jo pirmakcelerācijas programmas UniLab Defence īstenošana ciešā sadarbībā ar četrām Latvijas zinātņu universitātēm tieši veicina</w:t>
      </w:r>
      <w:r w:rsidR="00000000" w:rsidRPr="00000000" w:rsidDel="00000000">
        <w:rPr>
          <w:b w:val="1"/>
          <w:rtl w:val="0"/>
        </w:rPr>
        <w:t xml:space="preserve"> augstskolu zinātniskā un intelektuālā potenciāla komercializāciju</w:t>
      </w:r>
      <w:r w:rsidR="00000000" w:rsidRPr="00000000" w:rsidDel="00000000">
        <w:rPr>
          <w:rtl w:val="0"/>
        </w:rPr>
        <w:t xml:space="preserve">. Šis modelis sniedz pētniecības organizācijām iespēju transformēt teorētiskos atklājumus un laboratoriju prototipus praktiski pielietojamos aizsardzības vai divējāda lietojuma produktos, piesaistot papildu finansējumu pētniecībai un attīstībai. Vienlaikus tas stimulē jaunu zinātnieku, inženieru un studentu iesaisti lietišķajos pētījumos un integrē Latvijas augstākās izglītības iestādes starptautiskajā militāro inovāciju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Vienkāršots atbalsta ietvars jaunuzņēmumiem</w:t>
      </w:r>
      <w:r w:rsidR="00000000" w:rsidRPr="00000000" w:rsidDel="00000000">
        <w:rPr>
          <w:rtl w:val="0"/>
        </w:rPr>
        <w:t xml:space="preserve">, ieviešot tieši pirmakcelerācijas grantiem pielāgotus nosacījumus (mazāka birokrātiskā nasta salīdzinājumā ar liela mēroga pētniecības projektiem), kas ir kritiski svarīgi dinamiskiem un resursu ziņā ierobežotiem jaunuzņēmumiem.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pirmakcelerācijas posmā paātrina pētniecības rezultātu un jaunu tehnoloģisko ideju pārtapšanu reālos, komercializējamos aizsardzības vai divējāda lietojuma produktos, palielinot augsto tehnoloģiju uzņēmumu skaitu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partneru iesaiste sniedz Latvijas uzņēmumiem iespēju pārbaudīt, validēt un pielāgot izstrādātos produktus reālos, augstas intensitātes darbības un apdraudējuma apstākļos. Tas paaugstina šo produktu vērtību un pieprasījumu globālajā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nodrošināta Aizsardzības ministrijai piešķirtā finansējuma ietvaros budžeta apakšprogrammā  22.12.00 “Nacionālo bruņoto spēku uzturēšana,”nepieciešamības gadījumā veicot finansējuma pārkārtošanu ekonomiskās klasifikācijas kodu, programmu un apakšprogrammu griezumā.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Ekonomikas ministrija, Finanšu ministrija, Iekšlietu ministrija,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izstrādes gaitā sabiedrības līdzdalības process netika piemērots, jo grozījumos ietvertais regulējums attiecas uz jautājumiem, kas skar Ministrijas resora iekšējos procesus saistībā ar valsts atbalsta mehānismu īstenošanu. Grozījumu projekta virzība tiek nodrošināta steidzamības kārtā, jo ierosinātie grozījumi ir vērsti uz savlaicīgu un efektīvu atbalsta sniegšanu inovācijām militāru vai divējāda lietojuma produktu attīstībai, tādējādi tieši ietekmējot un nodrošinot valsts drošības būtiskās intereses paaugstinātu reģionālās drošības izaicinājumu laikā. Jāuzsver, ka patreizējā </w:t>
      </w:r>
      <w:r w:rsidR="00000000" w:rsidRPr="00000000" w:rsidDel="00000000">
        <w:rPr>
          <w:b w:val="1"/>
          <w:rtl w:val="0"/>
        </w:rPr>
        <w:t xml:space="preserve">ģeopolitiskajā situācijā valstij ir kritiski svarīgi inovatīvi un revolucionāro tehnoloģiju risinājumi, kas veicinātu NBS kritisko spēju attīstību un vajadzību nodrošināšanu</w:t>
      </w:r>
      <w:r w:rsidR="00000000" w:rsidRPr="00000000" w:rsidDel="00000000">
        <w:rPr>
          <w:rtl w:val="0"/>
        </w:rPr>
        <w:t xml:space="preserve">. Atbilstoši šīm vajadzībām tiek definētas Ministrijas grantu konkursu prioritārās tēmas.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tieši neskar citas institūcijas, tā kā </w:t>
      </w:r>
      <w:r w:rsidR="00000000" w:rsidRPr="00000000" w:rsidDel="00000000">
        <w:rPr>
          <w:b w:val="1"/>
          <w:rtl w:val="0"/>
        </w:rPr>
        <w:t xml:space="preserve">nerada tām jaunus pienākumus</w:t>
      </w:r>
      <w:r w:rsidR="00000000" w:rsidRPr="00000000" w:rsidDel="00000000">
        <w:rPr>
          <w:rtl w:val="0"/>
        </w:rPr>
        <w:t xml:space="preserve">. Spēkā esošais regulējums jau nosaka Iekšlietu ministrijas iestāžu (PMLP un Iekšlietu digitālā centra), VID un Militārās izlūkošanas un drošības dienesta kompetences informācijas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grantu ieviešanu saistītās institucionālās izmaiņas ir jau paredzētas Ministrijas īstenotās aizsardzības resora inovāciju pārvaldības reformas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25-TA-1937</w:t>
    </w:r>
    <w:r>
      <w:br/>
    </w:r>
    <w:r w:rsidR="00000000" w:rsidRPr="00000000" w:rsidDel="00000000">
      <w:rPr>
        <w:rtl w:val="0"/>
      </w:rPr>
      <w:t xml:space="preserve">Izdrukāts 03.08.2026. 12.40 - 7.0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25-TA-1937</w:t>
    </w:r>
    <w:r>
      <w:br/>
    </w:r>
    <w:r w:rsidR="00000000" w:rsidRPr="00000000" w:rsidDel="00000000">
      <w:rPr>
        <w:rtl w:val="0"/>
      </w:rPr>
      <w:t xml:space="preserve">Izdrukāts 03.08.2026. 12.40 - 7.0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anotācija_(ex_ante)_25-TA-1937.docx</dc:title>
</cp:coreProperties>
</file>

<file path=docProps/custom.xml><?xml version="1.0" encoding="utf-8"?>
<Properties xmlns="http://schemas.openxmlformats.org/officeDocument/2006/custom-properties" xmlns:vt="http://schemas.openxmlformats.org/officeDocument/2006/docPropsVTypes"/>
</file>