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2026. gada 20. maija rīkojumā Nr. 276 "Par atļauju Aizsardzības ministrijai uzņemties valsts budžeta ilgtermiņa saistības, lai nodrošinātu Latvijas iesaisti projektos un pasākumos Eiropas Komisijas tieši administrētajās programmās""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2026. gada 20. maija Nr. 276 rīkojumā "Par atļauju Aizsardzības ministrijai uzņemties valsts budžeta ilgtermiņa saistības, lai nodrošinātu Latvijas iesaisti projektos un pasākumos Eiropas Komisijas tieši administrētajās programmās" (turpmāk – Rīkojums) ir sagatavoti, lai nodrošinātu pilnvērtīgu Latvijas dalību "Nordic-Baltic Cyber Consortium" (turpmāk - NBCC) projektā un piešķirtu valsts budžeta līdzfinansējumu Latvijas Universitātes Matemātikas un informātikas institūtam (turpmāk - LUMII) projekta īstenošanai visā tā laika posmā no 2026. gada 1. janvāra līdz 2029.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izstrādāti, pamatojoties uz papildus saņemto informāciju no NBCC projekta koordinatora Dānijas par nepieciešamo līdzfinansējumu dalībai projektā. Tāpat precizēts Rīkojuma izpildes termiņš tā 1.punktā, kas maina valsts budžeta ilgtermiņa saistību periodu.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Rīkojums tiek precizēts daļā par projekta izpildes periodu un nepieciešamo Latvijas līdzfinansējumu projektam. Tiek labota redakcionāla kļūda Rīkojuma 1. punktā, norādot visu projekta izpildes periodu līdz 2029. gadam. Projekta īstenošanai nav nepieciešams priekšfinansējums, tapēc precizēts Rīkojuma 2. punkts un svītrots 3. punkts. Ņemot vērā papildu saņemto informāciju no projekta koordinatora Dānijas par līdzfinansējumu pirmajai fāzei, papildināts nepieciešamais Latvijas līdzfinansējums kā NBCC konsorcija dalībvalstij 2027., 2028. un 2029.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NBCC projekta īstenošana plānota 48 mēnešu garumā, divās fāzes. Pirmajā fāzē no 2026. līdz 2029. gadam tiek īstenota vienota iepirkuma procedūra kiberdraudu izlūkdatu (Cyber Threat Intelligence - CTI) risinājumu iegādei un turpmākās tehniskās sadarbības nodrošināšanai kopā ar Eiropas Kiberdrošības kompetenču centru (turpmāk - ECCC). Vienotā iepirkuma kopējā plānotā summa ir 11 926 300 </w:t>
      </w:r>
      <w:r w:rsidR="00000000" w:rsidRPr="00000000" w:rsidDel="00000000">
        <w:rPr>
          <w:i w:val="1"/>
          <w:rtl w:val="0"/>
        </w:rPr>
        <w:t xml:space="preserve">euro</w:t>
      </w:r>
      <w:r w:rsidR="00000000" w:rsidRPr="00000000" w:rsidDel="00000000">
        <w:rPr>
          <w:rtl w:val="0"/>
        </w:rPr>
        <w:t xml:space="preserve">, ECCC nodrošina 75% no vienotā iepirkuma finansējuma apjoma.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papildu saņemto informāciju no NBCC projekta koordinatora Dānijas, nepieciešamais Latvijas kā projekta dalībvalsts līdzfinansējums plānots 637 984.24 </w:t>
      </w:r>
      <w:r w:rsidR="00000000" w:rsidRPr="00000000" w:rsidDel="00000000">
        <w:rPr>
          <w:i w:val="1"/>
          <w:rtl w:val="0"/>
        </w:rPr>
        <w:t xml:space="preserve">euro</w:t>
      </w:r>
      <w:r w:rsidR="00000000" w:rsidRPr="00000000" w:rsidDel="00000000">
        <w:rPr>
          <w:rtl w:val="0"/>
        </w:rPr>
        <w:t xml:space="preserve"> apmērā un projekta īstenošanas laikā sadalās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864"/>
        <w:gridCol w:w="1829"/>
        <w:gridCol w:w="1793"/>
        <w:gridCol w:w="1744"/>
        <w:gridCol w:w="1658"/>
        <w:tblGridChange w:id="0">
          <w:tblGrid>
            <w:gridCol w:w="1864"/>
            <w:gridCol w:w="1829"/>
            <w:gridCol w:w="1793"/>
            <w:gridCol w:w="1744"/>
            <w:gridCol w:w="165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līdzfinansējuma apjoms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425 939.29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70 681.65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70 681.65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70 681.65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Attiecīgās izmaiņas Latvijas līdzfinansējuma apjomā ir atspoguļotas anotācijas projekta trešajā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līdzfinansējums projekta otrajai fāzei paliek nemainīgs. Projekta kopējais finansējums: 2 968 629.40 </w:t>
      </w:r>
      <w:r w:rsidR="00000000" w:rsidRPr="00000000" w:rsidDel="00000000">
        <w:rPr>
          <w:i w:val="1"/>
          <w:rtl w:val="0"/>
        </w:rPr>
        <w:t xml:space="preserve">euro</w:t>
      </w:r>
      <w:r w:rsidR="00000000" w:rsidRPr="00000000" w:rsidDel="00000000">
        <w:rPr>
          <w:rtl w:val="0"/>
        </w:rPr>
        <w:t xml:space="preserve">. Piešķirtais ES finansējums (50%): 1 484 314.71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LUMII kā projekta partnera finansējums: 271 352 </w:t>
      </w:r>
      <w:r w:rsidR="00000000" w:rsidRPr="00000000" w:rsidDel="00000000">
        <w:rPr>
          <w:i w:val="1"/>
          <w:rtl w:val="0"/>
        </w:rPr>
        <w:t xml:space="preserve">euro</w:t>
      </w:r>
      <w:r w:rsidR="00000000" w:rsidRPr="00000000" w:rsidDel="00000000">
        <w:rPr>
          <w:rtl w:val="0"/>
        </w:rPr>
        <w:t xml:space="preserve">, no tiem 50% ES finansējums: 135 676 </w:t>
      </w:r>
      <w:r w:rsidR="00000000" w:rsidRPr="00000000" w:rsidDel="00000000">
        <w:rPr>
          <w:i w:val="1"/>
          <w:rtl w:val="0"/>
        </w:rPr>
        <w:t xml:space="preserve">euro</w:t>
      </w:r>
      <w:r w:rsidR="00000000" w:rsidRPr="00000000" w:rsidDel="00000000">
        <w:rPr>
          <w:rtl w:val="0"/>
        </w:rPr>
        <w:t xml:space="preserve">. Latvijas kā projekta konsorcija dalībvalsts līdzfinansējums ir plānots 135 676 </w:t>
      </w:r>
      <w:r w:rsidR="00000000" w:rsidRPr="00000000" w:rsidDel="00000000">
        <w:rPr>
          <w:i w:val="1"/>
          <w:rtl w:val="0"/>
        </w:rPr>
        <w:t xml:space="preserve">euro</w:t>
      </w:r>
      <w:r w:rsidR="00000000" w:rsidRPr="00000000" w:rsidDel="00000000">
        <w:rPr>
          <w:rtl w:val="0"/>
        </w:rPr>
        <w:t xml:space="preserve"> apmērā, kas projekta īstenošanas laikā sadalās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40"/>
        <w:gridCol w:w="2297"/>
        <w:gridCol w:w="2247"/>
        <w:gridCol w:w="2155"/>
        <w:tblGridChange w:id="0">
          <w:tblGrid>
            <w:gridCol w:w="2340"/>
            <w:gridCol w:w="2297"/>
            <w:gridCol w:w="2247"/>
            <w:gridCol w:w="215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līdzfinansējuma apjoms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45 225.33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45 225.33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45 225.33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NBCC projekta īstenošanas periods ir no 2026. gada 1. janvāra līdz 2029. gada 31. decembrim, tad tiek labota redakcionāla kļūda Rīkojuma 1. punktā. Papildus, tā kā projekta īstenošanai nav nepieciešams priekšfinansējums, tiek precizēts Rīkojuma 2. punkts un svītros 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precizēts Rīkojums daļā par projekta īstenošanas periodu un nepieciešamo Latvijas līdzfinansējumu 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sniegs tiešu un netiešu labumu Latvijas sabiedrībai un uzņēmumiem, jo tas stiprinās kiberdrošību, mazinās kiberriskus un uzlabos aizsardzību pret kiberapdraudējumiem.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sniegs būtisku pienesumu visām tautsaimniecības nozarēm, stiprinot kopējo kiberdrošības ekosistēmu, tai skaitā informācijas apriti un savlaicīgas kiberapdraudējumu un kiberrisku novēršanas 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vai uzlabotu kiberdrošības risinājumu ieviešana uzlabos konkurētspēju tajās nozarēs, kurās svarīga kiberdrošība, jo īpašu privātpersonu apkalpošanā un piegādes ķēžu drošības nodrošināšanā (personas datu apstrāde, droši piegādes pakalpojumi u.tml. elementi). Covid-19 pandēmija, Krievijas īstenotais pilna mēroga karš Ukrainā, kā arī pastāvīgi identificētās ārvalstu atbalstītu grupējumu aktivitātes Latvijas kibertelpā pierāda, ka svarīgi veidot drošu un patstāvīgu tehnoloģiju pieejamību, nepārtraukti, rūpējoties un uzlabojot kopējo kiberdrošības situāciju valstī.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425 940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115 907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425 940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115 907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-425 940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-115 907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-425 940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-115 907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-425 940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-115 907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gada laikā tiek īstenota vienota iepirkuma procedūra tehniskās sadarbības nodrošinājuma un CTI risinājumu iegādei kopā ar ECCC. Vienotā iepirkuma kopējā plānotā summa ir 11 926 300 </w:t>
            </w:r>
            <w:r w:rsidR="00000000" w:rsidRPr="00000000" w:rsidDel="00000000">
              <w:rPr>
                <w:sz w:val="24"/>
                <w:i w:val="1"/>
                <w:rtl w:val="0"/>
              </w:rPr>
              <w:t xml:space="preserve">euro</w:t>
            </w:r>
            <w:r w:rsidR="00000000" w:rsidRPr="00000000" w:rsidDel="00000000">
              <w:rPr>
                <w:sz w:val="24"/>
                <w:rtl w:val="0"/>
              </w:rPr>
              <w:t xml:space="preserve">, ECCC nodrošina 75% no vienotā iepirkuma finansējuma apjoma.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kā projekta konsorcija dalībvalsts līdzfinansējums ir plānots 637 984.24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68"/>
              <w:gridCol w:w="1545"/>
              <w:gridCol w:w="1510"/>
              <w:gridCol w:w="1469"/>
              <w:gridCol w:w="1405"/>
              <w:tblGridChange w:id="0">
                <w:tblGrid>
                  <w:gridCol w:w="1568"/>
                  <w:gridCol w:w="1545"/>
                  <w:gridCol w:w="1510"/>
                  <w:gridCol w:w="1469"/>
                  <w:gridCol w:w="140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līdzfinansējuma apjoms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425 939.29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70 681.65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70 681.65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70 681.65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līdzfinansējums NBCC projekta otrajai fāzei paliek nemainīgs. No 2027. līdz 2029. gadam plānota projekta īstenošana un definēto mērķu sasniegšana ciešākai sadarbības veicināšanai Baltijas un Ziemeļvalstu reģionā, izmantojot vienotajā iepirkumā iegādāto infrastruktūru un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kopējais finansējums: 2 968 629.40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Piešķirtais ES finansējums (50%): 1 484 314.71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LUMII kā projekta partnera finansējums: 271 352 </w:t>
            </w:r>
            <w:r w:rsidR="00000000" w:rsidRPr="00000000" w:rsidDel="00000000">
              <w:rPr>
                <w:sz w:val="24"/>
                <w:i w:val="1"/>
                <w:rtl w:val="0"/>
              </w:rPr>
              <w:t xml:space="preserve">euro</w:t>
            </w:r>
            <w:r w:rsidR="00000000" w:rsidRPr="00000000" w:rsidDel="00000000">
              <w:rPr>
                <w:sz w:val="24"/>
                <w:rtl w:val="0"/>
              </w:rPr>
              <w:t xml:space="preserve">, no tiem 50% ES finansējums: 135 676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kā projekta konsorcija dalībvalsts līdzfinansējums ir plānots 135 676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975"/>
              <w:gridCol w:w="1939"/>
              <w:gridCol w:w="1899"/>
              <w:gridCol w:w="1835"/>
              <w:tblGridChange w:id="0">
                <w:tblGrid>
                  <w:gridCol w:w="1975"/>
                  <w:gridCol w:w="1939"/>
                  <w:gridCol w:w="1899"/>
                  <w:gridCol w:w="183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līdzfinansējuma apjoms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45 225.33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45 225.33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45 225.33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Katrs konsorcija dalībnieks ieguldīs vienādu daļu NBCC darbībai projekta periodā. Šo līdzekļu pārskaitīšanai tiek piedāvāta šāda 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Katrs konsorcija dalībnieks katra projekta perioda gada sākumā pārskaita projekta koordinatoram (Dānijai) 1/3 no sava kopējā ieguldījuma darbības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Katrs konsorcija dalībnieks ik pēc pusgada pieprasīs koordinatoram kompensāciju no kopējā fonda par attiecīgajām izmaksām, kas tiem radušās. Šie kompensācijas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pieprasījumi nevar pārsniegt kopējo finansējumu, kas piešķirts konsorcija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dalībniekiem katrā kategorijā, un tie nevar ietvert finansējumu iniciatīvām, uz kurām neattiecas granta nolīgums.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Koordinators nodrošinās šīs atmaksas pēc pienācīgas dokumentācijas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nepieciešamību nodrošināt līdzfinansējumu, lai LUMII varētu uzsākt dalību projektā, kopējais nepieciešamais līdzfinansējuma apjoms 2026. gadā ir 425 939.29 </w:t>
            </w:r>
            <w:r w:rsidR="00000000" w:rsidRPr="00000000" w:rsidDel="00000000">
              <w:rPr>
                <w:sz w:val="24"/>
                <w:i w:val="1"/>
                <w:rtl w:val="0"/>
              </w:rPr>
              <w:t xml:space="preserve">euro</w:t>
            </w:r>
            <w:r w:rsidR="00000000" w:rsidRPr="00000000" w:rsidDel="00000000">
              <w:rPr>
                <w:sz w:val="24"/>
                <w:rtl w:val="0"/>
              </w:rPr>
              <w:t xml:space="preserve">, savukārt periodā no 2027. gada līdz 2029. gadam - 347 721 </w:t>
            </w:r>
            <w:r w:rsidR="00000000" w:rsidRPr="00000000" w:rsidDel="00000000">
              <w:rPr>
                <w:sz w:val="24"/>
                <w:i w:val="1"/>
                <w:rtl w:val="0"/>
              </w:rPr>
              <w:t xml:space="preserve">euro</w:t>
            </w:r>
            <w:r w:rsidR="00000000" w:rsidRPr="00000000" w:rsidDel="00000000">
              <w:rPr>
                <w:sz w:val="24"/>
                <w:rtl w:val="0"/>
              </w:rPr>
              <w:t xml:space="preserve">. Attiecīgi nepieciešamais līdzfinansējums 2027., 2028. un 2029. gadā ir 115 907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sasaiste ar Eiropas Parlamenta un Padomes 2024. gada 19. decembra Regulu (ES) 2025/38, kas nosaka pasākumus, kuri stiprina solidaritāti un spējas Savienībā atklāt kiberdraudus un incidentus, tiem sagatavoties un uz tiem reaģēt, un ar ko groza Regulu (ES) 2021/694 ir izklāstīta Ministru kabineta 2025. gada 4. novembra informatīvajā ziņojumā un sēdes protokollēmumā Nr. 25-TA-2193.</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Universitātes Matemātikas un informātikas institūts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26-TA-1978</w:t>
    </w:r>
    <w:r>
      <w:br/>
    </w:r>
    <w:r w:rsidR="00000000" w:rsidRPr="00000000" w:rsidDel="00000000">
      <w:rPr>
        <w:rtl w:val="0"/>
      </w:rPr>
      <w:t xml:space="preserve">Izdrukāts 07.09.2026. 12.03 - 1.0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26-TA-1978</w:t>
    </w:r>
    <w:r>
      <w:br/>
    </w:r>
    <w:r w:rsidR="00000000" w:rsidRPr="00000000" w:rsidDel="00000000">
      <w:rPr>
        <w:rtl w:val="0"/>
      </w:rPr>
      <w:t xml:space="preserve">Izdrukāts 07.09.2026. 12.03 - 1.0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anotācija_(ex_ante)_26-TA-1978.docx</dc:title>
</cp:coreProperties>
</file>

<file path=docProps/custom.xml><?xml version="1.0" encoding="utf-8"?>
<Properties xmlns="http://schemas.openxmlformats.org/officeDocument/2006/custom-properties" xmlns:vt="http://schemas.openxmlformats.org/officeDocument/2006/docPropsVTypes"/>
</file>