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Ieguldījumu pārvaldes sabiedrību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Ieguldījumu pārvaldes sabiedrību likumā” (turpmāk - likumprojekts) izstrādāts, lai Ieguldījumu pārvaldes sabiedrību likumā (turpmāk -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transponētu Eiropas Parlamenta un Padomes 2023. gada 13. decembra direktīvas (ES) 2023/2864, ar ko attiecībā uz Eiropas vienotā piekļuves punkta izveidi un darbību groza konkrētas direktīvas (turpmāk – Direktīva Nr. 2023/2864),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Direktīvu Nr. 2023/2864, tostarp tiek grozīta Eiropas Parlamenta un Padomes 2009. gada 13. jūlija direktīva 2009/65/EK par normatīvo un administratīvo aktu koordināciju attiecībā uz pārvedamu vērtspapīru kolektīvo ieguldījumu uzņēmumiem (turpmāk – Direktīva Nr. 2009/65), iekļaujot tajā jaunu 82.a pantu “Informācijas pieejamība Eiropas vienotajā piekļuves punktā” un Eiropas Parlamenta un Padomes 2007. gada 11. jūlija direktīva 2007/36/EK par biržu sarakstos iekļautu sabiedrību akcionāru konkrētu tiesību izmantošanu (turpmāk – Direktīva Nr. 2007/36), iekļaujot tajā jaunu 14.c pantu “Informācijas pieejamība Eiropas vienotajā piekļuves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2009/65 82.a panta noteiktās prasības par informācijas nodošanu Eiropas vienotajam piekļuves punktam (European single access point) (turpmāk – ESAP), kas tiks izveidots saskaņā ar Eiropas Parlamenta un Padomes 2023. gada 13. decembra regulu (ES) 2023/2859, ar ko izveido Eiropas vienoto piekļuves punktu, kurš nodrošina centralizētu piekļuvi publiski pieejamai informācijai saistībā ar finanšu pakalpojumiem, kapitāla tirgiem un ilgtspēju (turpmāk – Regula Nr. 2023/2859), attiecas tikai uz Ieguldījumu pārvaldes sabiedrību likuma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transponētu Eiropas Parlamenta un Padomes 2024. gada 27. novembra direktīvas (ES) 2024/2994, ar ko groza Direktīvas 2009/65/EK, 2013/36/ES un (ES) 2019/2034 attiecībā uz pieeju koncentrācijas riskam, kas izriet no riska darījumiem ar centrālajiem darījumu partneriem, un darījuma partnera riskam atvasināto instrumentu darījumos, kuriem tīrvērte veikta centralizēti (turpmāk – Direktīva Nr. 2024/2994),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Nr. 2024/2994 iekļautas tiesību normas ar mērķi veicināt kapitāla tirgu savienības mērķu sasniegšanu, centrālais darījumu partneris (CCP) efektīvas izmantošanas nolūkā Direktīvā Nr. 2009/65/EK novēršot konkrētus šķēršļus centralizētas tīrvērtes izmantošanai.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ESAP tiktu nodota informāciju par licences izsniegšanu, par fonda prospekta, par fonda gada pārskata un ieguldītājiem paredzētās pamatinformāciju, kā arī par piemērotajām sankcijām, administratīvajiem pasākumiem un uzraudzības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 pienācīgi tiek uzraudzīts un mazināts koncentrācijas risks, kas izriet no riska darījumiem ar 2. līmeņa CCP, kuri piedāvā būtiskas sistēmiskas nozīmes pakalpojumus, un likvidēt darījuma partnera riska ierobežojumus atvasināto instrumentu darījumiem.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2023/2864 17. pantā “Transponēšana” noteikts, ka dalībvalstis līdz 2026.gada 10.janvārim pieņem un publicē normatīvos aktus, kas vajadzīgi, lai izpildītu šīs direktīvas prasības. Līdz ar to nekavējoties ir nepieciešams transponēt Likumā minēto Eiropas Savienības tiesību aktu, lai novērstu tādu valstij nelabvēlīgu seku iestāšanos, kas skar būtiskas valsts starptautiskās un finanšu intereses, ja Direktīva Nr. 2023/2864 netiek transponēta minētajā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2024/2994 4. pantā “Transponēšana” noteikts, ka dalībvalstis līdz 2026. gada 25. jūnijam pieņem un publicē normatīvos aktus, kas vajadzīgi, lai  izpildītu Direktīvas Nr. 2024/2994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 panta pirmā daļa uz šo brīdi neiekļauj definīciju terminam “centrālais darījumu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 pants paredz, ka Latvijas Banka lēmumu par licences izsniegšanu pieņem triju mēnešu laikā pēc tam, kad saņemti visi šajā likumā noteiktie lēmuma pieņemšanai nepieciešamie dokumenti, kas sagatavoti un noformēti atbilstoši normatīvajos aktos noteiktajām prasībām. Izsniedz licenci 10 dienu laikā no dienas, kad pieņemts lēmums par licences izsniegšanu, kā arī var neizsniegt licenci, ja nav ievērotas panta trešajā daļā minētās prasības un atkārtoti iesniegumu licences saņemšanai var iesniegt pēc atteikumā norādīto trūkumu novēršanas. Latvijas Banka par licences izsniegšanu informē Eiropas Vērtspapīru un tirgu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Likuma 58. pants nosaka, ka sabiedrības pienākums ir nodrošināt fonda prospekta un ieguldītājiem paredzētās pamatinformācijas izsniegšanu bez maksas visām ieinteresētajām personām un sabiedrība ievieto fonda prospektu un ieguldītājiem paredzēto pamatinformāciju savā mājaslapā internetā vai izmanto pastāvīgu informācijas nesēju, ievērojot Eiropas Komisijas regulas Nr. 583/2010 prasības. Ja fonda prospektā vai ieguldītājiem paredzētajā pamatinformācijā tiek izdarīti grozījumi, sabiedrība pēc to spēkā stāšanās nekavējoties nodrošina, ka tās mājaslapā internetā ir pieejams pilns fonda prospekta teksts, kurā norādīti grozījumi un to spēkā stāšanās datums, kā arī pēdējā ieguldītājiem paredzētās pamatinformācijas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66. panta astotās daļas ievaddaļā noteikts: “Riska darījumu apmērs darījumos ar atvasinātajiem finanšu instrumentiem, kas netiek tirgoti regulētajā tirgū, ar katru darījumu partneri nedrīkst pārsniegt:”. Panta vienpadsmitajā daļā noteikts, ka kopējie fonda ieguldījumi pārvedamajos vērtspapīros un naudas tirgus instrumentos, fonda noguldījumi un darījumi ar atvasinātajiem finanšu instrumentiem, kuru emitents vai garantētājs, noguldījuma piesaistītājs vai darījuma otra puse ir viena un tā pati persona, nedrīkst pārsniegt 20 procentus no fonda aktīviem. Piemērojot šajā pantā noteiktos ieguldījumu ierobežojumus, vienā grupā ietilpstošas komercsabiedrības uzskata par vienu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73. pants paredz, ka fonda grāmatvedības uzskaiti veic sabiedrība vai tās pilnvarota persona, nodrošinot, ka visi fonda aktīvi un saistības ir identificējami jebkurā laikā. Katra fonda grāmatvedības uzskaite veicama atsevišķi. Sabiedrība sagatavo fonda gada un pusgada pārskatus, kuru saturu un tajos iekļaujamās informācijas apjomu, kā arī sagatavošanas kārtību nosaka Latvijas Bankas noteikumi. Fonda gada un pusgada pārskatus apstiprina sabiedrības valde. Fonda gada un pusgada pārskatiem jābūt publiski pieejamiem visām fonda darbībā ieinteresētajām personām. Fonda ieguldītājiem ir tiesības pieprasīt un bez maksas saņemt fonda gada un pusgada pārskatu kopiju papīra formā. Sabiedrība noteiktā kārtībā publicē fonda gada pārskatu, kā arī nodrošina, lai visām fonda darbībā ieinteresētajām personām būtu iespēja ar to iepazīties. Šai nolūkā sabiedrība ievieto fonda gada pārskatu savā interneta mājas lapā, ja tāda ir izveidota, vai sniedz par to informāciju citādā attiecīgā fonda pārvaldes nolikumā paredzētajā kārtībā. Sabiedrība nodrošina, lai visām fonda darbībā ieinteresētajām personām būtu iespēja iepazīties ar fonda pusgada pārskatu. Sniedzot fondu pārrobežu pārvaldes pakalpojumus citā dalībvalstī, sabiedrība izstrādā grāmatvedības politiku un uzskaites procedūras atbilstoši šīs dalībvalsts noteiktajām prasībām, lai, balstoties uz grāmatvedības datiem, precīzi noteiktu fonda neto aktīvu vērtību un attiecīgi aprēķinātu ieguldījumu apliecību cenu vai fonda daļu vērtību, par kādu tiek nodrošināta apliecību pārdošana un atpakaļpirkšana.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75.</w:t>
      </w:r>
      <w:r w:rsidR="00000000" w:rsidRPr="00000000" w:rsidDel="00000000">
        <w:rPr>
          <w:vertAlign w:val="superscript"/>
          <w:rtl w:val="0"/>
        </w:rPr>
        <w:t xml:space="preserve">4</w:t>
      </w:r>
      <w:r w:rsidR="00000000" w:rsidRPr="00000000" w:rsidDel="00000000">
        <w:rPr>
          <w:rtl w:val="0"/>
        </w:rPr>
        <w:t xml:space="preserve"> pants paredz, ka, ja pārvaldes sabiedrības ieguldījumu politika paredz ieguldīt ieguldījumu fonda, valsts fondēto pensiju shēmas vai privāto pensiju fondu izveidoto pensiju plānu līdzekļus tādas akciju sabiedrības akcijās, kuras juridiskā adrese ir dalībvalstī un kuras akcijas iekļautas dalībvalsts regulētajā tirgū, pārvaldes sabiedrība izstrādā iesaistīšanās politiku. Pārvaldes sabiedrība nodrošina šā panta otrajā, trešajā, ceturtajā, piektajā un sestajā daļā minētās informācijas publisku bezmaksas pieejamību savā mājaslapā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87.</w:t>
      </w:r>
      <w:r w:rsidR="00000000" w:rsidRPr="00000000" w:rsidDel="00000000">
        <w:rPr>
          <w:vertAlign w:val="superscript"/>
          <w:rtl w:val="0"/>
        </w:rPr>
        <w:t xml:space="preserve">1</w:t>
      </w:r>
      <w:r w:rsidR="00000000" w:rsidRPr="00000000" w:rsidDel="00000000">
        <w:rPr>
          <w:rtl w:val="0"/>
        </w:rPr>
        <w:t xml:space="preserve"> pants paredz, ka Latvijas Banka pēc personas informēšanas par pieņemto lēmumu, tā savā mājaslapā internetā publicē informāciju par personai piemērotajām sankcijām, administratīvajiem pasākumiem un uzraudzības pasākumiem par šā likuma un uz tā pamata izdoto Latvijas Bankas noteikumu pārkāpumiem, identificējot personu un tās izdarītā pārkāpuma veidu un raksturu, kā arī informāciju par Latvijas Bankas izdotā administratīvā akta apstrīdēšanas un pārsūdzēšanas kārtību un jebkuru turpmāko informāciju par pārsūdzības rezultātiem, kā arī jebkuru lēmumu, ar kuru tiek anulēts iepriekšējais lēmums par personai piemērotajām sankcijām, administratīvajiem pasākumiem vai uzraudzības pasākumiem. Šajā daļā minētās prasības neattiecas uz uzraudzības pasākumiem, kuri tiek noteikti, kamēr turpinās attiecīgās administratīvās lietas izskatīšana. Latvijas Banka ir tiesīga: 1) atlikt informācijas par personai piemērotajām sankcijām, administratīvajiem pasākumiem vai uzraudzības pasākumiem publiskošanu, līdz beidz pastāvēt apstākļi publikācijas atlikšanai; 2) publiskot šā panta pirmajā daļā minēto informāciju, neidentificējot personu, ja publikācija nodrošina personas datu efektīvu aizsardzību; 3) nepubliskot šā panta pirmajā daļā minēto informāciju, ja šīs daļas 1. un 2. punktā noteiktās darbības ir uzskatāmas par nepietiekamām, lai nodrošinātu finanšu tirgus stabilitāti un to, ka publiskošana ir samērīga ar noteiktajiem uzraudzības pasākumiem, ja tie uzskatāmi par maznozīmīgiem. Latvijas Bankas mājaslapā internetā ievietotā informācija ir pieejama piecus gadus no tās ievietošanas dienas. Latvijas Banka informē Eiropas Vērtspapīru un tirgu iestādi par personai piemērotajām, bet saskaņā ar šā panta otrās daļas 3. punktu nepubliskotajām sankcijām, administratīvajiem pasākumiem un uzraudzības pasākumiem, tai skaitā par attiecīgā administratīvā akta pārsūdzību un tās rezultātu, publiskotajām personai piemērotajām sankcijām, administratīvajiem pasākumiem un uzraudzības pasākumiem, par informāciju un tiesas spriedumiem, kas nav pārsūdzami, un par personai piemērotajiem kriminālsodiem.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2023/2859 1. pants paredz, ka līdz 2027. gada 10. jūlijam Eiropas Vērtspapīru un tirgu iestāde, kas izveidota ar Eiropas Parlamenta un Padomes  2010. gada 24. novembra Regulu (ES) Nr. 1095/2010, ar ko izveido Eiropas Uzraudzības iestādi (Eiropas Vērtspapīru un tirgu iestādi), groza Lēmumu Nr. 716/2009/EK un atceļ Komisijas Lēmumu 2009/77/EK, (turpmāk – EVTI) izveido un pārvalda ESAP, kas nodrošina centralizētu piekļuvi informācijai, ko publisko saskaņā ar Regulas nr. 2023/2859 pielikumā uzskaitītajiem Savienības leģislatīvajiem aktiem, tostarp Direktīvā Nr. 2009/65 noteikto informāciju. ESAP funkcijas noteiktas Regulas Nr. 2023/2859 7. pantā.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reglamentējošais normatīvais akts, kurš attiecas uz uzņēmumiem, uz kuriem attiecas Direktīvas Nr. 2009/65 82.a panta un Direktīva Nr. 2007/36 14.c panta noteiktās prasības par informācijas nodošanu ESAP, ir Ieguldījumu pārvaldes sabiedrību likums, tad, lai pārņemtu Direktīvas Nr. 2023/2864 prasības, ir jāveic grozījumi Ieguldījumu pārvaldes sabiedrību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reglamentējošais normatīvais akts, kurš attiecas uz uzņēmumiem, kurus skar Direktīvas Nr. 2009/65 prasības, ir Ieguldījumu pārvaldes sabiedrību likums, tad, lai pārņemtu Direktīvas Nr. 2024/2994 1. panta prasības, ir nepieciešams veikt grozījumus Ieguldījumu pārvaldes sabiedrību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2007/36 14.c panta un Direktīvas Nr. 2009/65 82.a panta “Informācijas pieejamība Eiropas vienotajā piekļuves punktā” prasības, kas izriet no Direktīvas Nr. 2023/2864, Ieguldījumu pārvaldes sabiedrību likums papildināts ar 88.</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2009/65  prasības, kas izriet no Direktīvas Nr. 2024/2994 1. panta prasībām, Ieguldījumu pārvaldes sabiedrību likumā veikti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pirmā daļa papildināta ar 43. punktu, kas definē terminu “centrālais darījumu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panta astotās daļas ievaddaļā ir veikti precizējumi attiecībā uz nosacījumiem atvasinātajiem finanšu instrumentiem, kurus izmanto riska darījumos; panta vienpadsmitajā daļā ir veikti grozījumi, nosakot, ka kopējie fonda ieguldījumi pārvedamajos vērtspapīros un naudas tirgus instrumentos, fonda noguldījumi un darījumi ar atvasinātajiem finanšu instrumentiem, ja to tīrvērti neveic centralizēti ar tāda centrālā darījumu partnera starpniecību, kurš saņēmis atļauju vai ir atzīts saskaņā ar Regulas Nr. 648/2012 14. vai 25. pantu, kuru emitents vai garantētājs, noguldījuma piesaistītājs vai darījuma otra puse ir viena un tā pati persona, nedrīkst pārsniegt 20 procentus no fonda aktīviem. Piemērojot šajā pantā noteiktos ieguldījumu ierobežojumus, vienā grupā ietilpstošas komercsabiedrības uzskata par vienu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arī informatīvo atsauci uz Eiropas Savienības direktīvām ar atsauci uz Direktīvu Nr. 2024/2994.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2009/65 82.a panta 1. punktā noteikts, ka no 2028. gada 10. janvāra dalībvalstis nodrošina, ka, publiskojot informāciju par licences izsniegšanu, par fonda prospekta un ieguldītājiem paredzētās pamatinformāciju, par fonda gada pārskatu publicēšanu, regulētās vienības vienlaikus iesniedz minēto informāciju šā panta 3. punktā minētajai informācijas vākšanas struktūrai, lai tie būtu pieejami ESAP.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ESAP nododamās informācijas tehniskajām prasībām Direktīvas Nr. 2009/65 82.a panta 1.punktā noteikts, ka dalībvalstis nodrošina, ka informācija tiek iesniegta datu izgūšanai piemērotā formātā, kā definēts Regulas Nr. 2023/2859 2. panta 3) vai – ja to prasa Savienības vai valstu tiesību akti – mašīnlasāmā formātā, kā definēts minētās regulas 2. panta 4) punktā. Informācijai tiek pievienoti metadati, kas noteikti direktīvas 2009/65 82.a panta 1. punkta b)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2009/65 82.a panta 2. punkts paredz, ka šā panta 1. punkta b) apakšpunkta ii) punkta izpildei dalībvalstis nodrošina, ka vienības iegūst juridiskās personas identifikatoru.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2009/65 82.a panta 3. punkts paredz, ka, lai nodrošinātu, ka šā panta 1. punktā minētā informācija ir pieejama ESAP, Regulas Nr. 2023/2859 2. panta 2) punktā definētā informācijas vākšanas struktūra ir kompetentā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ESAP nododamās informācijas tehniskajām prasībām Direktīvas Nr. 2009/65 82.a panta 4. un 5. punktā noteikts, ka dalībvalstis nodrošina, ka informācija tiek iesniegta datu izgūšanai piemērotā formātā, kā definēts Regulas Nr. 2023/2859 2. panta 3) punktā. Informācijai tiek pievienoti metadati, kas noteikti Direktīvas Nr. 2009/65 82.a panta 4. un 5. punkta b)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2007/36 14.c panta 1. punktā noteikts, ka no 2030. gada 10. janvāra dalībvalstis nodrošina, ka, informāciju par iesaistīšanās politiku un ieguldījumu stratēģiju un vienošanās ar aktīvu pārvaldniekiem, vienības vienlaikus iesniedz minēto informāciju šā panta 3. punktā minētajai informācijas vākšanas struktūrai, lai tie būtu pieejami ESAP.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ESAP nododamās informācijas tehniskajām prasībām Direktīvas Nr. 2007/36 14.c panta 1.punktā noteikts, ka dalībvalstis nodrošina, ka informācija tiek iesniegta datu izgūšanai piemērotā formātā, kā definēts Regulas Nr. 2023/2859 2. panta 3) punktā, vai – ja to prasa Savienības vai valstu tiesību akti – mašīnlasāmā formātā, kā definēts minētās regulas 2. panta 4) punktā. Informācijai tiek pievienoti metadati, kas noteikti Direktīvas Nr. 2007/36 14.c panta 1. punkta b)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88.</w:t>
      </w:r>
      <w:r w:rsidR="00000000" w:rsidRPr="00000000" w:rsidDel="00000000">
        <w:rPr>
          <w:vertAlign w:val="superscript"/>
          <w:rtl w:val="0"/>
        </w:rPr>
        <w:t xml:space="preserve">1</w:t>
      </w:r>
      <w:r w:rsidR="00000000" w:rsidRPr="00000000" w:rsidDel="00000000">
        <w:rPr>
          <w:rtl w:val="0"/>
        </w:rPr>
        <w:t xml:space="preserve"> pantu, kura pirmajā daļā paredzēts, ka Latvijas Banka ir uzskatāma par informācijas vākšanas struktūru Regulas Nr. 2023/2859 2. panta 2.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88.</w:t>
      </w:r>
      <w:r w:rsidR="00000000" w:rsidRPr="00000000" w:rsidDel="00000000">
        <w:rPr>
          <w:vertAlign w:val="superscript"/>
          <w:rtl w:val="0"/>
        </w:rPr>
        <w:t xml:space="preserve">1</w:t>
      </w:r>
      <w:r w:rsidR="00000000" w:rsidRPr="00000000" w:rsidDel="00000000">
        <w:rPr>
          <w:rtl w:val="0"/>
        </w:rPr>
        <w:t xml:space="preserve"> panta otrā daļa paredz, ka Latvijas Banka nodrošina šī likuma 11. panta pirmajā daļā, 58. panta pirmajā  daļā, 73. panta astotajā un devītajā daļā, 75.</w:t>
      </w:r>
      <w:r w:rsidR="00000000" w:rsidRPr="00000000" w:rsidDel="00000000">
        <w:rPr>
          <w:vertAlign w:val="superscript"/>
          <w:rtl w:val="0"/>
        </w:rPr>
        <w:t xml:space="preserve">4</w:t>
      </w:r>
      <w:r w:rsidR="00000000" w:rsidRPr="00000000" w:rsidDel="00000000">
        <w:rPr>
          <w:rtl w:val="0"/>
        </w:rPr>
        <w:t xml:space="preserve"> panta septītajā daļā un 87.</w:t>
      </w:r>
      <w:r w:rsidR="00000000" w:rsidRPr="00000000" w:rsidDel="00000000">
        <w:rPr>
          <w:vertAlign w:val="superscript"/>
          <w:rtl w:val="0"/>
        </w:rPr>
        <w:t xml:space="preserve">1</w:t>
      </w:r>
      <w:r w:rsidR="00000000" w:rsidRPr="00000000" w:rsidDel="00000000">
        <w:rPr>
          <w:rtl w:val="0"/>
        </w:rPr>
        <w:t xml:space="preserve">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88.</w:t>
      </w:r>
      <w:r w:rsidR="00000000" w:rsidRPr="00000000" w:rsidDel="00000000">
        <w:rPr>
          <w:vertAlign w:val="superscript"/>
          <w:rtl w:val="0"/>
        </w:rPr>
        <w:t xml:space="preserve">1</w:t>
      </w:r>
      <w:r w:rsidR="00000000" w:rsidRPr="00000000" w:rsidDel="00000000">
        <w:rPr>
          <w:rtl w:val="0"/>
        </w:rPr>
        <w:t xml:space="preserve"> panta trešā daļa nosaka, ka informāciju Eiropas vienotajam piekļuves punktam  11. panta pirmajā daļā un šī likuma 87.</w:t>
      </w:r>
      <w:r w:rsidR="00000000" w:rsidRPr="00000000" w:rsidDel="00000000">
        <w:rPr>
          <w:vertAlign w:val="superscript"/>
          <w:rtl w:val="0"/>
        </w:rPr>
        <w:t xml:space="preserve">1</w:t>
      </w:r>
      <w:r w:rsidR="00000000" w:rsidRPr="00000000" w:rsidDel="00000000">
        <w:rPr>
          <w:rtl w:val="0"/>
        </w:rPr>
        <w:t xml:space="preserve"> panta pirmajā daļā minēto informāciju sniedz Regulas Nr. 2023/2859 2. panta 3. punktā noteiktajā formātā. Informācija satur Regulas Nr. 2023/2859 7. panta 4. punkta “b” un “c” apakšpunktā minēto informāciju. Savukārt šī likuma 58. panta pirmajā  daļā un 73. panta astotajā un devītajā daļā minēto informāciju Latvijas Banka sniedz Regulas Nr. 2023/2859 2. panta 3. vai 4. punktā noteiktajā formātā. Informācija satur Regulas Nr. 2023/2859 7. panta 4. punkta “b”, “c” un “d” apakšpunktā minēto informāciju. Šā likuma 75.</w:t>
      </w:r>
      <w:r w:rsidR="00000000" w:rsidRPr="00000000" w:rsidDel="00000000">
        <w:rPr>
          <w:vertAlign w:val="superscript"/>
          <w:rtl w:val="0"/>
        </w:rPr>
        <w:t xml:space="preserve">4</w:t>
      </w:r>
      <w:r w:rsidR="00000000" w:rsidRPr="00000000" w:rsidDel="00000000">
        <w:rPr>
          <w:rtl w:val="0"/>
        </w:rPr>
        <w:t xml:space="preserve"> panta septītajā daļā minēto informāciju Eiropas vienotajam piekļuves punktam sniedz Regulas Nr. 2023/2859 2. panta 3. vai 4. punktā noteiktajā formātā. Informācija satur Regulas Nr. 2023/2859 7. panta 4. punkta "b", "c", "d" un "e"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identifikators jeb LEI (Legal Entity Identifier) ir unikāls globāls uzņēmuma identifikācijas numurs, ko izdevusi Globālā juridisko personu identifikatoru fonda vietējā struktūrvienība. Finanšu iestādes un regulatori izmanto LEI, lai identificētu finanšu tirgu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identifikators ir 20 rakstzīmju, burtu un ciparu kods, kura pamatā ir ISO 17442 standarts, ko izstrādājusi Starptautiskā standartizācijas organizācija (ISO). Tas apkopo galveno atsauces datu informāciju, kas ļauj skaidri un unikāli identificēt juridiskas personas, kuras piedalās finanšu darījumos atbilstoši Komisijas deleģētās 2016. gada 14. jūlija regulas (ES) 2017/585 ar ko Eiropas Parlamenta un Padomes Regulu (ES) Nr. 600/2014 papildina attiecībā uz regulatīvajiem tehniskajiem standartiem par finanšu instrumentu atsauces datu standartiem un formātiem un tehniskiem līdzekļiem saistībā ar Eiropas Vērtspapīru un tirgu iestādes un kompetento iestāžu veicamajiem pasākumiem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pārejas noteikumus ar nosacījumu, ka Likuma 88.</w:t>
      </w:r>
      <w:r w:rsidR="00000000" w:rsidRPr="00000000" w:rsidDel="00000000">
        <w:rPr>
          <w:vertAlign w:val="superscript"/>
          <w:rtl w:val="0"/>
        </w:rPr>
        <w:t xml:space="preserve">1</w:t>
      </w:r>
      <w:r w:rsidR="00000000" w:rsidRPr="00000000" w:rsidDel="00000000">
        <w:rPr>
          <w:rtl w:val="0"/>
        </w:rPr>
        <w:t xml:space="preserve"> pantu piemēro, sākot ar  2028. gada 10. janvāri.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iekļauta arī informatīvā atsauce uz Direktīvu nr. 2023/2864.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arī informatīvo atsauci uz Eiropas Savienības direktīvām ar atsauci uz Direktīvu Nr. 2024/2994.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kas ir Likuma subjekti.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grozījumiem Likumā tā subjektiem nerodas papildus pienākumi.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Finanšu konglomerātu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Finanšu konglomerātu likumā" (25-TA-2284).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Akciju atpirkšanas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Akciju atpirkšanas likumā" (25-TA-2326).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Kredītiestāžu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Kredītiestāžu likumā" (25-TA-2447).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Likumprojekts "Grozījumi Apdrošināšanas un pārapdrošināšanas 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Apdrošināšanas un pārapdrošināšanas likumā" (25-TA-2547).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Likumprojekts "Grozījumi Segto obligāciju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Segto obligāciju likumā" (25-TA-2563).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Likumprojekts "Grozījumi Apdrošināšanas un pārapdrošināšanas izplatīšanas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Apdrošināšanas un pārapdrošināšanas izplatīšanas likumā" (25-TA-2576).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Likumprojekts "Grozījumi Privāto pensiju fondu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Privāto pensiju fondu likumā" (25-TA-2585).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Likumprojekts "Grozījumi Alternatīvo ieguldījumu fondu un to pārvaldnieku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Alternatīvo ieguldījumu fondu un to pārvaldnieku likumā" (25-TA-2595).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Likumprojekts "Grozījumi Ieguldījumu brokeru sabiedrību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Ieguldījumu brokeru sabiedrību likumā" (25-TA-2604).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Likumprojekts "Grozījumi Kredītiestāžu un ieguldījumu brokeru sabiedrību darbības atjaunošanas un noregulējuma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Kredītiestāžu un ieguldījumu brokeru sabiedrību darbības atjaunošanas un noregulējuma likumā" (25-TA-2691).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Likumprojekts "Grozījumi Finanšu instrumentu tirgus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Finanšu instrumentu tirgus likumā" (25-TA-2713).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32023L2864; 32024L2994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decembra Direktīva (ES) 2023/2864, ar ko attiecībā uz Eiropas vienotā piekļuves punkta izveidi un darbību groza konkrētas direktīvas; Eiropas Parlamenta un Padomes 2024. gada 27. novembra direktīva (ES) 2024/2994, ar ko groza Direktīvas 2009/65/EK, 2013/36/ES un (ES) 2019/2034 attiecībā uz pieeju koncentrācijas riskam, kas izriet no riska darījumiem ar centrālajiem darījumu partneriem, un darījuma partnera riskam atvasināto instrumentu darījumos, kuriem tīrvērte veikta centralizēti.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2023/2864 normas ir jāpārņem līdz 10.01.2026. Direktīvas Nr. 2024/2994 tiesību normas ir jāpārņem līdz 25.06.2026.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13. decembra Direktīva (ES) 2023/2864, ar ko attiecībā uz Eiropas vienotā piekļuves punkta izveidi un darbību groza konkrētas direktīvas; Eiropas Parlamenta un Padomes 2024. gada 27. novembra direktīva (ES) 2024/2994, ar ko groza Direktīvas 2009/65/EK, 2013/36/ES un (ES) 2019/2034 attiecībā uz pieeju koncentrācijas riskam, kas izriet no riska darījumiem ar centrālajiem darījumu partneriem, un darījuma partnera riskam atvasināto instrumentu darījumos, kuriem tīrvērte veikta centralizēti.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6. pantu Direktīvā 2009/65 iekļautais 82.a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88.</w:t>
            </w:r>
            <w:r w:rsidR="00000000" w:rsidRPr="00000000" w:rsidDel="00000000">
              <w:rPr>
                <w:sz w:val="24"/>
                <w:vertAlign w:val="superscript"/>
                <w:rtl w:val="0"/>
              </w:rPr>
              <w:t xml:space="preserve">1</w:t>
            </w:r>
            <w:r w:rsidR="00000000" w:rsidRPr="00000000" w:rsidDel="00000000">
              <w:rPr>
                <w:sz w:val="24"/>
                <w:rtl w:val="0"/>
              </w:rPr>
              <w:t xml:space="preserve"> pants. Pārejas noteikumu ar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5. pantu Direktīvā 2007/36 iekļautais 14.c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88.1 pants. Pārejas noteikumu ar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2024/2994   1. panta 1. punktu Direktīvas 2009/65/ES 2. panta 1. punktam pievienots "v"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1. panta pirmās daļas 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2024/2994 1. panta 2. punkta "a" apakšpunktu grozīta Direktīvas 2009/65/ES 52. panta 1. punkta otrās daļas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66. panta astotās daļas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2024/2994  1. panta 2. punkta "b" apakšpunktu grozīta Direktīvas 2009/65/ES 52. panta 2.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66.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2024/2994  1. panta 2. punkta "b" apakšpunktu grozīts Direktīvas 2009/65/ES 52. panta 2. punkta otrās daļas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66. panta vienpadsmitā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publicēta pēc publiskās apspriešanas.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publicēta pēc publiskās apspriešanas.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25-TA-2538</w:t>
    </w:r>
    <w:r>
      <w:br/>
    </w:r>
    <w:r w:rsidR="00000000" w:rsidRPr="00000000" w:rsidDel="00000000">
      <w:rPr>
        <w:rtl w:val="0"/>
      </w:rPr>
      <w:t xml:space="preserve">Izdrukāts 29.07.2026. 23.11 - 1.0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25-TA-2538</w:t>
    </w:r>
    <w:r>
      <w:br/>
    </w:r>
    <w:r w:rsidR="00000000" w:rsidRPr="00000000" w:rsidDel="00000000">
      <w:rPr>
        <w:rtl w:val="0"/>
      </w:rPr>
      <w:t xml:space="preserve">Izdrukāts 29.07.2026. 23.11 - 1.0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anotācija_(ex_ante)_25-TA-2538.docx</dc:title>
</cp:coreProperties>
</file>

<file path=docProps/custom.xml><?xml version="1.0" encoding="utf-8"?>
<Properties xmlns="http://schemas.openxmlformats.org/officeDocument/2006/custom-properties" xmlns:vt="http://schemas.openxmlformats.org/officeDocument/2006/docPropsVTypes"/>
</file>