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5. septembra noteikumos Nr. 537 "Noteikumi par portfeļgarantijām sīko (mikro), mazo un vidējo saimnieciskās darbības veicēju – juridisko personu – kreditēšanas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projekts"Grozījumi Ministru kabineta 2017. gada 5. septembra noteikumos Nr. 537 "Noteikumi par portfeļgarantijām sīko (mikro), mazo un vidējo saimnieciskās darbības veicēju – juridisko personu – kreditēšanas veicināšanai" (turpmāk - Noteikumu projekts) izstrādāts, lai veiktu precizējumus pamatojoties uz 2023.gada 13.decembrī Eiropas Komisija (turpmāk – Komisija) apstiprināto un 2023.gada 15.decembrī Eiropas Savienības Oficiālajā Vēstnesī publicēto jauno </w:t>
      </w:r>
      <w:r w:rsidR="00000000" w:rsidRPr="00000000" w:rsidDel="00000000">
        <w:rPr>
          <w:i w:val="1"/>
          <w:rtl w:val="0"/>
        </w:rPr>
        <w:t xml:space="preserve">de minimis</w:t>
      </w:r>
      <w:r w:rsidR="00000000" w:rsidRPr="00000000" w:rsidDel="00000000">
        <w:rPr>
          <w:rtl w:val="0"/>
        </w:rPr>
        <w:t xml:space="preserve"> atbalsta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2024.gada 1.janvāri zaudējusi spēku, bet ir piemērojama līdz 2024.gada 30.jūnijam atbilstoši tās 7.panta 4.punktā un 8.pantā noteiktajām un ar 2024.gada 1.janvāri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5. septembra noteikumos Nr. 537 "Noteikumi par portfeļgarantijām sīko (mikro), mazo un vidējo saimnieciskās darbības veicēju – juridisko personu – kreditēšanas veicināšanai" (turpmāk - MK noteikumi Nr.537) grozījumos ir paredzēts, ka no to spēkā stāšanās brīža </w:t>
      </w:r>
      <w:r w:rsidR="00000000" w:rsidRPr="00000000" w:rsidDel="00000000">
        <w:rPr>
          <w:i w:val="1"/>
          <w:rtl w:val="0"/>
        </w:rPr>
        <w:t xml:space="preserve">de minimis</w:t>
      </w:r>
      <w:r w:rsidR="00000000" w:rsidRPr="00000000" w:rsidDel="00000000">
        <w:rPr>
          <w:rtl w:val="0"/>
        </w:rPr>
        <w:t xml:space="preserve"> atbalsts tiks piešķirts ar Komisijas Regulu Nr.2023/2831. Vienlaikus Komisijas Regula Nr. 2023/2831 sniedz vēl lielāku elastību izstrādāt un īstenot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Integrēt jaunos </w:t>
      </w:r>
      <w:r w:rsidR="00000000" w:rsidRPr="00000000" w:rsidDel="00000000">
        <w:rPr>
          <w:b w:val="1"/>
          <w:i w:val="1"/>
          <w:rtl w:val="0"/>
        </w:rPr>
        <w:t xml:space="preserve">de minimis</w:t>
      </w:r>
      <w:r w:rsidR="00000000" w:rsidRPr="00000000" w:rsidDel="00000000">
        <w:rPr>
          <w:b w:val="1"/>
          <w:rtl w:val="0"/>
        </w:rPr>
        <w:t xml:space="preserve"> nosacījumus, atbilstoši Komisijas Regulai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iepriekš minēto Ekonomikas ministrija vērš uzmanību, ka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EUR apmēru, līdz ar to Noteikumu projektā ir veikti tehniski precizējumi palielinot atbalsta apmēru (iepriekš 200 000 EUR apmērā), kā arī atsauce uz regulu aizvietojot 2013.gada 18.decembra Komisijas Regulu Nr.1407/2013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uz Komisijas Regula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ka attiecībā uz izmaksu un darbību nošķiršanu tiek runāts tikai nozaru kontekstā Ekonomikas ministrija ir papildinājusi noteikumu projektu ar 14.1 apakšpunktu, kas paredz ja saimnieciskās darbības veicējs darbojas 13.3.apakšpunktā minētajās neatbalstāmajās nozarēs, </w:t>
      </w:r>
      <w:r w:rsidR="00000000" w:rsidRPr="00000000" w:rsidDel="00000000">
        <w:rPr>
          <w:i w:val="1"/>
          <w:rtl w:val="0"/>
        </w:rPr>
        <w:t xml:space="preserve">de minimis </w:t>
      </w:r>
      <w:r w:rsidR="00000000" w:rsidRPr="00000000" w:rsidDel="00000000">
        <w:rPr>
          <w:rtl w:val="0"/>
        </w:rPr>
        <w:t xml:space="preserve">atbalstu drīkst piešķirt tikai tad, ja atbalsta pretendents nodrošina nozaru darbību nodalīšanu vai uzskaites nodalīšanu, lai saskaņā ar Komisijas regulas Nr.2023/2831 1.panta 2.punktu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Komisijas regulu Nr.2023/2831. Ja saimnieciskās darbības veicējs vienlaikus darbojas vienā vai vairākās nozarēs, kas minētas šo noteikumu 13.4.-13.5. un 13.</w:t>
      </w:r>
      <w:r w:rsidR="00000000" w:rsidRPr="00000000" w:rsidDel="00000000">
        <w:rPr>
          <w:vertAlign w:val="superscript"/>
          <w:rtl w:val="0"/>
        </w:rPr>
        <w:t xml:space="preserve">1</w:t>
      </w:r>
      <w:r w:rsidR="00000000" w:rsidRPr="00000000" w:rsidDel="00000000">
        <w:rPr>
          <w:rtl w:val="0"/>
        </w:rPr>
        <w:t xml:space="preserve"> 1. apakšpunktā,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skaidro, ka Komisijas regulas Nr. 2023/2831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atbalsta kopsumma, kas piešķirta iepriekšējos trīs gados.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Efektīva līdzekļu sadale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nodrošināt efektīvu līdzekļu sadali, kā arī nodrošinātu optimālu finansējuma sadalījumu atkarībā no saņemto pieteikuma skaita,  Ekonomikas ministrija precizē MK noteikumu Nr.537 23.punktu, kādā tiek nodrošināta pieejamā finansējuma sadale. Priekšlikums paredz atlases kārtas ietvaros finansējumu sadalīt atbilstoši atlases nosacījumiem, kas noteikti atlases nolikumā. Atlases nolikums ir publiski pieejama informācija atlases dalībniekiem un citām ieinteresētajām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Finansētāju paplašināšana ar atbalstu sniegšanu nebanku finansētājiem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finansējuma pieejamību komersantiem portfeļgarantiju programmas ietvaros, Ekonomikas ministrija rosina paplašināt sadarbības partneru loku portfeļgarantiju programmas ietvaros. Privātās investīcijas veido vien 17% no IKP, bet mērķim būtu jābūt vismaz 23-25% no IKP. Investīciju dinamiku lielā mērā ietekmē vājā kreditēšana, relatīvi zems pieprasījums, kā arī ekonomiskās un politiskās situācijas nenoteiktība ārējā vidē. Ja privātā sektora kreditēšana Latvijā būtu Igaunijas līmenī, tad ekonomikā papildus nonāktu ~ 2 mljrd. EUR finansējums gadā, kas būtu ļoti būtisks faktors straujākai uzņēmumu attīstībai. Produktivitātes līmeņa paaugstināšanā  uzņēmuma un nozares līmenī būtiska nozīme ir ražošanas modernizācijai, esošo tehnoloģiju pilnveidošanai un jauno tehnoloģiju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MK noteikumiem Nr.573 redakcijai Attīstības finanšu institūcija Altum (turpmāk -  ALTUM )var sadarboties ar kredītiestādi vai kredītiestādes meitas sabiedrību, kura reģistrēta un ir tiesīga sniegt finanšu pakalpojumus Latvijā. Noteikumu projekts paredz papildināt noteikumus ar iespēju programmas ietvaros atlasīt finansētājus, kas nav kredītiestādes – proti, nebanku sektora un finanšu tehnoloģijās balstītu finanšu pakalpojumu sniedzējus, kuri ir reģistrēti Latvijā un ir tiesīgi sniegt finanšu pakalpojumus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paplašināts 16.punkta ievaddaļas tvērums, nosakot, ka programmas ietvaros aizdevumu portfeli var veidot “finansētājs”, attiecīgi paplašinot ALTUM ar portfeļgarantiju garantēto aizdevumu sniedzēju loku ne tikai ar kredītiestādēm, bet arī ar alternatīvo finansēšanas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finansētāja definīciju, kas noteic, ka programmas ietvaros iespējams sadarboties ne tikai kredītiestādēm, bet arī alternatīvo finansēšanas pakalpojumu sniedzēju, kā arī papildinot noteikumus ar alternatīvo finansēšanas pakalpojumu sniedzēju definīciju un atbilstības kritērijiem. Tāpat papildus viscaur MK noteikumos Nr.537 nepieciešams veikt tehniskus grozījumus, kas paredz vienādotu terminoloģijas lietojumu, attiecīgi aizstājot līdz šim MK noteikumos Nr.537 tekstā lietoto terminu “kredītiestāde” ar terminu “finansētājs”.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ir noteikta kārtība, kādā sabiedrība ALTUM veic finansētāju atlasi atklātā un pārredzamā procedūrā atbilstoši pieteikšanās nosacījumiem un kārtībai, kā arī detalizētas prasības noteic sadarbības līgumos ar finansētāju atbilstoši MK noteikumu Nr.537  V sadaļai, papildus nosacījumus, kas attiecas uz sadarbības principiem, noteic gan atlases kritēriji, gan sadarbības līgumos. Šie kritēriji ir publiski pieejama informācija un pirms atlases kārtas izsludināšanas tiek publicēti sabiedrības ALTUM tīmekļa vietnē. Tāpat atlases noteikumos un sadarbības līgumos ar finansētājiem jau noteikta kārtība attiecībā uz iesniedzamajiem dokumentiem, atskaitēm, kā arī citu informāciju. Cita starpā precizēts MK noteikumos Nr.537 19.6 punkts nosakot, ka finansētājs atskaites noteiktā kārtībā iesniedz ne retāk kā reizi mēnesī (pašreizējā redakcijā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iespēju norādīt pieteikumu, ja minētie sadarbības nosacījumi neatbilst ALTUM kredītpolitikai, tiek veikts grozījums MK noteikumu Nr.537 21.punktā, jo līdzšinējā MK noteikumos Nr.537 redakcija šādu kārtību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Veikti citus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MK noteikumi Nr.537 tiks finansēti no Eiropas Savienības fondu 2021.–2027. gada plānošanas perioda finansējuma un MK noteikumu Nr.537 13.6. apakšpunktā ir minēta atsauce uz Eiropas Parlamenta un Padomes Regulas (ES) Nr. 1303/2013 piemērošanu attiecībā uz standarta noteikumiem un nosacījumiem par finanšu instrumentiem nav piemērojama Eiropas Savienības fondu 2021.–2027. gada plānošanas perioda finansējumam, līdz ar to Ekonomikas ministrija no MK noteikumu Nr.537 svītro iepriekš minēto punktu. Papildus prasības, kas attiecas uz Eiropas Savienības fondu ierobežojumiem jau noteiktas MK noteikumu Nr.537. 13.</w:t>
      </w:r>
      <w:r w:rsidR="00000000" w:rsidRPr="00000000" w:rsidDel="00000000">
        <w:rPr>
          <w:vertAlign w:val="superscript"/>
          <w:rtl w:val="0"/>
        </w:rPr>
        <w:t xml:space="preserve">1</w:t>
      </w:r>
      <w:r w:rsidR="00000000" w:rsidRPr="00000000" w:rsidDel="00000000">
        <w:rPr>
          <w:rtl w:val="0"/>
        </w:rPr>
        <w:t xml:space="preserv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neierobežotu iespējamo kredītiestāžu atlases dalībnieku loku, Ekonomikas ministrija papildina MK noteikumu Nr.537 16.punktu ar iespēju pieteikties arī kredītiestāžu filiālēm, kuras ir reģistrēta Latvijā un ir tiesīga sniegt tiesīga sniegt finanšu pakalpojumus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skaidro, ka MK noteikumu grozījumi Ministru kabineta 2017. gada 5. septembra noteikumos Nr. 537 "Noteikumi par portfeļgarantijām sīko (mikro), mazo un vidējo saimnieciskās darbības veicēju – juridisko personu – kreditēšanas veicināšanai" neparedz izmaiņas programmas novērtējumā, ko Ekonomikas ministrija iesniedza Finanšu ministrijai un Ministru kabinets apstiprināja 2023.gada 5.septembrī.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Veiktās izmaiņas MK noteikumu projektā neietekmēs noslēgtos līgumus, uzsāktos projektus, tostarp finansējuma saņēmējus, kā arī ar šiem grozījumiem netiek mainīta vai ietekmēta projektu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Palielināts garantēto finanšu pakalpojumu summa līdz 500 000 euro (iepriekš 250 000).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Svītrots 1. prim punkts, tādējādi atbalsts midcaps ir pieejams arī no atmaksu 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saimnieciskās darbības veicēji, 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de minimis atbalsta kopsumma vienam vienotam uzņēmumam ir palielinājusies līdz 300 000 EUR, kas radīs ietekmi komersantiem, nodrošinot iespēju saņemt garantijas. Atbalstu varēs saņemt arī tie komersanti, kas iepriekš kvalificējās zem Komisijas Regulas Nr. 1407/2013 (atbalsta kopsumma 200 000 EUR) nepārsniedzot trīs gadu periodā viena vienam vienotam uzņēmumam 300 000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2023.gada 13.decembra (ES)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2023.gada 13.decembra (ES)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23-TA-3299</w:t>
    </w:r>
    <w:r>
      <w:br/>
    </w:r>
    <w:r w:rsidR="00000000" w:rsidRPr="00000000" w:rsidDel="00000000">
      <w:rPr>
        <w:rtl w:val="0"/>
      </w:rPr>
      <w:t xml:space="preserve">Izdrukāts 29.07.2026. 22.15 - 4.0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23-TA-3299</w:t>
    </w:r>
    <w:r>
      <w:br/>
    </w:r>
    <w:r w:rsidR="00000000" w:rsidRPr="00000000" w:rsidDel="00000000">
      <w:rPr>
        <w:rtl w:val="0"/>
      </w:rPr>
      <w:t xml:space="preserve">Izdrukāts 29.07.2026. 22.15 - 4.0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anotācija_(ex_ante)_23-TA-3299.docx</dc:title>
</cp:coreProperties>
</file>

<file path=docProps/custom.xml><?xml version="1.0" encoding="utf-8"?>
<Properties xmlns="http://schemas.openxmlformats.org/officeDocument/2006/custom-properties" xmlns:vt="http://schemas.openxmlformats.org/officeDocument/2006/docPropsVTypes"/>
</file>