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Patērētāju tiesību aizsardzības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Patērētāju tiesību aizsardzības likumā” (turpmāk – Likumprojekts) izstrādāts, lai nodrošinātu Eiropas Parlamenta un Padomes 2023. gada 18. oktobra Direktīvas (ES) 2023/2225 par patērētāju kredītlīgumiem un ar ko atceļ Direktīvu 2008/48/EK (turpmāk – Direktīva 2023/2225) un Eiropas Parlamenta un Padomes 2023. gada 22. novembra Direktīvu (ES) 2023/2673, ar ko groza Direktīvu 2011/83/ES attiecībā uz attālināti noslēgtiem finanšu pakalpojumu līgumiem un atceļ Direktīvu 2002/65/EK (turpmāk – Direktīva 2023/2673) prasību pārņemšanu nacionālajos tiesību aktos.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uzlabotu patērētāju aizsardzību un pielāgots mūsdienu attīstībai un tendencēm kreditēšanas tirgū.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patērētāju kreditēšanas regulējums izstrādāts atbilstoši Eiropas Parlamenta un Padomes 2008. gada 23. aprīļa Direktīvas 2008/48/EK par patēriņa kredītlīgumiem un ar ko atceļ Direktīvu 87/102/EEK (turpmāk - Direktīva 2008/48) prasībām, kā arī nacionālajiem normatīvajiem aktiem. Prasības patērētāju kreditēšanai noteiktas Patērētāju tiesību aizsardzības likumā (turpmāk - Likums), kā arī Ministru kabineta 2016.gada 25.oktobra noteikumos Nr.691 “Noteikumi par patērētāja kreditēšanu” (turpmāk Noteikumi Nr.691).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Direktīvas 2008/48 pieņemšanas notikusī straujā tehnoloģiskā attīstība ir radījusi būtiskas izmaiņas patēriņa kredītu tirgū gan piedāvājuma, gan arī pieprasījuma ziņā, piemēram, jaunu produktu parādīšanos un patērētāju uzvedības un izvēles attīstību. Tādēļ regulējums tika pārskatīts ar Direktīvu 2023/2225, lai atrisinātu izaicinājumus, ko radījusi tehnoloģiju attīstība un panāktu augstu patērētāju tiesību aizsardzības līmeni.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Pārskatot Direktīvu 2008/48, paplašināts tās darbības tvērums. Šobrīd vairāki kreditēšanas līgumu veidi, uz ko neattiecas spēkā esošās prasības patērētāju kreditēšanas jomā, var kaitēt patērētājiem ar to augstajām izmaksām vai augsto maksu kavētu maksājumu gadījumā. Līdz šim atliktie maksājumi un "pērc tagad, maksā vēlāk" piedāvājumi, kas ir jauni digitāli finanšu rīki, kuri ļauj patērētājiem veikt pirkumus un atmaksāt tos laika gaitā, nebija iekļauti Direktīvas 2008/48 tvērumā. Vienlaikus šādi pirkumi bieži vien ir saistīti ar liela apmēra kredītu ar samērā ilgu atmaksas termiņu, tādēļ uz tiem arī būtu attiecināmas patērētāju kreditēšanas regulējuma prasības, tostarp patērētāja spējas atmaksāt kredītu novērtēšana.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augstu patērētāju tiesību aizsardzības līmeni, prasības patērētāju kreditēšanas jomā, kas noteiktas Likumā un Noteikumos Nr.691, turpmāk spējas atmaksāt kredītu izvērtēšanas prasības tiks attiecinātas arī uz tādiem kreditēšanas līgumiem, ja kredītu piešķir kā pārtēriņa iespēju un ja tas ir jāatmaksā viena mēneša laikā; kreditēšanas līgumiem, kuros nav paredzēti ne procenti, ne citas maksas un kreditēšanas līgumi, kuros paredzēts, ka kredīts jāatmaksā trīs mēnešu laikā un par kuriem tiek prasīta nenozīmīga samaksa.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dažiem atliktajiem maksājumiem, kad preču piegādātājs vai pakalpojumu sniedzējs patērētājam dod laiku samaksāt par preci vai pakalpojumu bez procentiem un bez jebkādām citām maksām, prasības patērētāju kreditēšanas jomā netiks attiecinātas. Taču tikai gadījumā, ja izpildās visi šie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kredīts tiek piešķirts, lai patērētājs norēķinātos par preci vai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netiek iesaistīts cits kredīta devējs, kā tas ir, piemēram, "pērc tagad, maksā vēlāk" gadījumos;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maksājums ir pilnībā jāveic ierobežotā 50 dienu termiņā pēc preces piegādes vai pakalpojuma 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atliktie maksājumi ir uzņēmējdarbības prakse, ko parasti izmanto, lai patērētājiem ļautu maksāt tikai pēc preču vai pakalpojumu saņemšanas, kas ir izdevīgi patērētājiem, piemēram, atliktas medicīnisko rēķinu apmaksas gadījumā, kad slimnīcas patērētājiem dod laiku samaksāt medicīniskos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lieliem tiešsaistes preču piegādātājiem vai pakalpojumu sniedzējiem, kuriem ir piekļuve lielam klientu lokam, prasības patērētāju kreditēšanas jomā netiek attiecinātas tikai gadījumos, kad maksājums ir pilnībā jāveic 14 dienu laikā pēc preču piegādes vai pakalpojumu sniegšanas bez procentiem (kā arī bez citu kredīta devēju iesaistīšanas un bez jebkādām citām maksām, izņemot ierobežotas maksas, kas patērētājam jāmaksā par maksājumu kavējumiem). Pretējā gadījumā šādi lieli tiešsaistes piegādātāji atliktus maksājumus varētu piedāvāt ļoti plaši, ņemot vērā to finansiālās spējas, mudinot patērētājus uz impulsīvu iepirkšanos un, iespējams, pārmērīgu patēriņu. Šāds ierobežojums patērētājiem ļautu norēķināties par preci vai pakalpojumu 14 dienu laikā, vienlaikus nodrošinot, ka gadījumos, kad lieli tiešsaistes preču piegādātāji vai pakalpojumu sniedzēji vēlas piešķirt liela apmēra kredītu ar ilgāku atmaksas termiņu, uz tiem attiektos visas prasības patērētāju kreditēšanas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ir precizēts Likuma 8.panta 4.</w:t>
      </w:r>
      <w:r w:rsidR="00000000" w:rsidRPr="00000000" w:rsidDel="00000000">
        <w:rPr>
          <w:vertAlign w:val="superscript"/>
          <w:rtl w:val="0"/>
        </w:rPr>
        <w:t xml:space="preserve">3</w:t>
      </w:r>
      <w:r w:rsidR="00000000" w:rsidRPr="00000000" w:rsidDel="00000000">
        <w:rPr>
          <w:rtl w:val="0"/>
        </w:rPr>
        <w:t xml:space="preserve"> daļas 10. punkts un ieviests jauns 10.</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8.pantā tiek iekļauta jauna 3.</w:t>
      </w:r>
      <w:r w:rsidR="00000000" w:rsidRPr="00000000" w:rsidDel="00000000">
        <w:rPr>
          <w:vertAlign w:val="superscript"/>
          <w:rtl w:val="0"/>
        </w:rPr>
        <w:t xml:space="preserve">2</w:t>
      </w:r>
      <w:r w:rsidR="00000000" w:rsidRPr="00000000" w:rsidDel="00000000">
        <w:rPr>
          <w:rtl w:val="0"/>
        </w:rPr>
        <w:t xml:space="preserve"> daļa, kura nosaka, ka ir atļauta komplektēšanas prakse, bet ir aizliegta sasaistīšanas prakse. Šī daļa novērš tādu praksi, kuras rezultātā patērētāji tiek mudināti noslēgt kreditēšanas līgumus, kas neatbilst viņu interesēm (piemēram, produktu sasaistīšanu), tomēr neierobežo produktu kompleksu piedāvāšanu, kas var radīt patērētājiem priekšrocības.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Pārtēriņa iespēja un pārsniegšana ir arvien izplatītāki patēriņa kredītu veidi, tādēļ tiek noteiktas patērētāju tiesības attiecībā uz šiem finanšu produktiem, lai paaugstinātu patērētāju aizsardzības līmeni un nepieļautu viņu nonākšanu pārmērīgās parādsaistībās.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ievērojama pārsniegšana pārsniedz viena mēneša periodu, kredīta devējam nekavējoties jāsniedz patērētājam informācija par pārsniegšanu, tostarp par attiecīgo summu, aizņēmuma likmi un piemērojamām sankcijām, maksām vai nokavējuma procentiem. Regulāras pārsniegšanas gadījumā kredīta devējam būtu patērētājam būtu jāsniedz individuāli ieteikumi (padomi), ja tie ir pieejami, lai palīdzētu patērētājam noteikt lētākas alternatīvas, un jānovirza patērētājs uz konsultāciju pakalpojumiem parādu jautājumos.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18.decembrī stājās spēkā Direktīva 2023/2673, ar ko tiks atcelts spēkā esošais Eiropas Savienības (ES) normatīvais akts, kas regulē prasības distances līgumiem par finanšu pakalpojumu sniegšanu (Eiropas Parlamenta un padomes 2002. gada 23. septembra Direktīva 2002/65/EK par patēriņa finanšu pakalpojumu tālpārdošanu). Šīs prasības ir pārņemtas Ministru kabineta 2014.gada 21.oktobra noteikumos Nr.648 “Noteikumi par distances līgumu par finanšu pakalpojumu sniegšanu” (turpmāk - Noteikumi Nr. 648).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Direktīvā 2023/2673 ir paredzētas būtiskas jaunas prasības (prasības pirms distances līguma sniegtajai informācijai patērētājam, kā arī paredzētas jaunas prasības, ja finanšu pakalpojumus tiek sniegts tiešsaistes saskarnē), esošais deleģējums PTAL 10.panta otrajā daļā Noteikumiem Nr.648 šo prasību pārņemšanai nav pietiekams un atbilstošs. Tomēr uz šī deleģējuma pamata ir izdoti arī Ministru kabineta 2014.gada 20.maija noteikumi Nr.255 “Noteikumi par distances līgumu” (turpmāk – Noteikumi Nr.255), kur nav skartas Direktīvas 2023/2673 prasības, izņemot sadaļā par papildus prasībām nodrošināt atteikuma funkciju distances līgumiem, kas noslēgti izmantojot tiešsaistes saskarni.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Likumprojektā paredzēts, ka PTAL 10.panta otrajā daļā esošais deleģējums tiek papildināts, iekļaujot tajā norādi par papildus prasībām atteikuma funkcijai distances līgumiem. Attiecīgi tiks grozīti Noteikumi Nr.255.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Likumprojektu ir paredzēts papildināt ar jaunu deleģējumu PTAL 10.panta trešajā daļā, pamatojoties uz ko tiks izdoti jauni Ministru kabineta noteikumi, ar ko tiks pārņemtas Direktīvas 2023/2673 prasības un ar ko Noteikumi Nr.648 tiks atzīti par spēku zaudējušiem.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2023/2673 2.pantā paredzēts, ka ES Dalībvalstis līdz 2025.gada 19.decembrim pieņem un publicē normatīvos aktus, kas vajadzīgi, lai izpildītu šīs direktīvas prasības. Attiecīgi, ar Likumprojektu paredzēts papildināt pārejas noteikumus ar jaunu punktu, nosakot, ka Ministru kabinets izdod PTAL 10.panta trešajā daļā minētos noteikumus līdz 2025.gada 18.decembrim.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informēšanai ir būtiska loma, jo tas ir nepieciešams, lai patērētājs izprastu sniegto pakalpojumu būtību un varētu izdarīt apzinātu izvēli, kas atbilst viņa individuālajām vajadzībām. Tāpat Eiropas patēriņa kredīta standartinformācijas veidlapa tika izstrādāta 2008.gadā un tā neatbilst mūsdienu prasībām tehnoloģiju jomā. Arvien pieprasītākas ir tieši dokumentu digitālās versijas, tādēļ visai būtiskākajai informācijai jābūt pieejamai vienkopus un viegli uztveramai, tai skaitā patērētāja viedierīcē.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Arvien plašāk tiek izmantotas mākslīgā intelekta sistēmas, tostarp, personalizējot piedāvājumu konkrētajam patērētājam, bet šobrīd nav paredzēts pienākums patērētāju par to informēt.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Mākslīgā intelekta (turpmāk - MI) sistēmas arvien straujāk attīstās un tiek ieviestas dažādās ekonomikas nozarēs un uzņēmējdarbībā. Tādēļ Likuma 8.panta jaunajā 1.</w:t>
      </w:r>
      <w:r w:rsidR="00000000" w:rsidRPr="00000000" w:rsidDel="00000000">
        <w:rPr>
          <w:vertAlign w:val="superscript"/>
          <w:rtl w:val="0"/>
        </w:rPr>
        <w:t xml:space="preserve">5</w:t>
      </w:r>
      <w:r w:rsidR="00000000" w:rsidRPr="00000000" w:rsidDel="00000000">
        <w:rPr>
          <w:rtl w:val="0"/>
        </w:rPr>
        <w:t xml:space="preserve"> daļā tiek paredzēts pienākums kredīta devējiem un kredīta starpniekiem, personalizējot savu piedāvājumu konkrētiem patērētājiem vai konkrētām patērētāju kategorijām ar automatizētas lēmumu pieņemšanas starpniecību, informēt patērētāju, ka viņiem piedāvātā cena ir personalizēta, pamatojoties uz automatizētu personas datu, tostarp atvasināto datu apstrādi, lai patērētāji varētu ņemt vērā iespējamos riskus, pieņemot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8. panta 4.</w:t>
      </w:r>
      <w:r w:rsidR="00000000" w:rsidRPr="00000000" w:rsidDel="00000000">
        <w:rPr>
          <w:vertAlign w:val="superscript"/>
          <w:rtl w:val="0"/>
        </w:rPr>
        <w:t xml:space="preserve">13</w:t>
      </w:r>
      <w:r w:rsidR="00000000" w:rsidRPr="00000000" w:rsidDel="00000000">
        <w:rPr>
          <w:rtl w:val="0"/>
        </w:rPr>
        <w:t xml:space="preserve"> daļa paredz, ka arī gadījumā, ja MI sistēmas izmanto patērētāja spējas atmaksāt kredītu izvērtēšanai, ikreiz, kad izvērtēšana ietver automatizētu datu apstrādi, patērētājam ir tiesības panākt cilvēka līdzdalību no kredīta devēja puses. Patērētājam ir tiesības saņemt jēgpilnu, saprotamu paskaidrojumu par veikto novērtējumu un izmantotās automatizētās apstrādes darbību, tostarp par galvenajiem mainīgajiem lielumiem, ietverto loģiku un riskiem, kā arī tiesībām paust savu patērētāja viedokli un pieprasīt, lai tiktu pārskatīts spējas atmaksāt kredītu novērtējums un tiktu pārskatīts lēmums par to, vai piešķirt kredītu. Patērētājam ir tiesības tikt informētam par minētajām tiesībām.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Kreditēšanas līgumi un papildpakalpojumi ir jāpiedāvā skaidrā un pārredzamā veidā. Nedrīkst būt situācija, kurā netieši var secināt, ka patērētājs piekrīt noslēgt kreditēšanas līgumu vai iegādāties papildpakalpojumus. Jebkāda šāda patērētāja dota piekrišana būtu jādod ar skaidri apstiprinošu darbību, kas nozīmē brīvi sniegtu, konkrētu, apzinātu un viennozīmīgu norādi par patērētāja piekrišanu. Klusēšana, atturēšanās no darbības vai tāda noklusējuma iespēja kā iepriekš atzīmētas ailes netiek uzskatītas par patērētāja dotu piekrišanu.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Tāda kredīta piešķiršana, ko patērētājs nav pieprasījis, dažos gadījumos var būt saistīta ar patērētājam kaitīgu praksi. Tādēļ ir aizliegts piešķirt nepieprasītu kredītu, tostarp, nepieprasītas, iepriekš apstiprinātas kredītkartes, kas nosūtītas patērētājiem, vienpusēji ieviest jaunas pārtēriņa iespējas vai pārsniegšanu vai vienpusēji palielināt patērētāja pārtēriņa, pārsniegšanas vai kredītkaršu tērēšanas limitu. Šī prasība ir iekļauta Likuma 8.panta jaunajā 1.</w:t>
      </w:r>
      <w:r w:rsidR="00000000" w:rsidRPr="00000000" w:rsidDel="00000000">
        <w:rPr>
          <w:vertAlign w:val="superscript"/>
          <w:rtl w:val="0"/>
        </w:rPr>
        <w:t xml:space="preserve">6</w:t>
      </w:r>
      <w:r w:rsidR="00000000" w:rsidRPr="00000000" w:rsidDel="00000000">
        <w:rPr>
          <w:rtl w:val="0"/>
        </w:rPr>
        <w:t xml:space="preserve">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Nr.691 paredz to, kāda informācija ir jāiekļauj kreditēšanas līgumā. Tostarp līgumā ir jāietver informācija par atteikuma tiesībām no kreditēšanas līguma, laikposmu, kurā var izmantot atteikuma tiesības, un citus minēto tiesību izmantošanas nosacījumus. Vispārīgajā gadījumā patērētājs drīkst 14 dienu laikā izmantot atteikuma tiesības un atkāpties no kreditēšanas līguma, nesniedzot nekādus paskaidrojumus. Taču gadījumā, ja patērētājam nav sniegta informācija par atteikuma tiesībām, patērētāja atteikuma tiesībām nav termiņa ierobežojuma. Lai palielinātu juridisko noteiktību, Likuma 12.</w:t>
      </w:r>
      <w:r w:rsidR="00000000" w:rsidRPr="00000000" w:rsidDel="00000000">
        <w:rPr>
          <w:vertAlign w:val="superscript"/>
          <w:rtl w:val="0"/>
        </w:rPr>
        <w:t xml:space="preserve">1</w:t>
      </w:r>
      <w:r w:rsidR="00000000" w:rsidRPr="00000000" w:rsidDel="00000000">
        <w:rPr>
          <w:rtl w:val="0"/>
        </w:rPr>
        <w:t xml:space="preserve"> panta desmitajā daļā ir paredzēts, ka atteikuma tiesību termiņš beidzas 12 mēnešus un 14 dienas pēc kreditēšanas līguma noslēgšanas, ja patērētājs ir saņēmis informāciju par atteikuma tiesībām, taču nav saņēmis tos normatīvajā regulējumā noteiktajā laikā.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būtiski novērtēt un pārbaudīt patērētāja spēju un gatavību atmaksāt kredītu, pirms tiek noslēgts kreditēšanas līgums, lai izvairītos no situācijām, kad patērētājs nevar izpildīt uzņemtās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prasības patērētāja spējas atmaksāt kredītu novērtēšanai netiek mainītas, bet nedaudz precizētas.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precizēta Likuma 8.panta 4.</w:t>
      </w:r>
      <w:r w:rsidR="00000000" w:rsidRPr="00000000" w:rsidDel="00000000">
        <w:rPr>
          <w:vertAlign w:val="superscript"/>
          <w:rtl w:val="0"/>
        </w:rPr>
        <w:t xml:space="preserve">1</w:t>
      </w:r>
      <w:r w:rsidR="00000000" w:rsidRPr="00000000" w:rsidDel="00000000">
        <w:rPr>
          <w:rtl w:val="0"/>
        </w:rPr>
        <w:t xml:space="preserve"> daļa, paredzot, ka patērētāja spējas atmaksāt kredītu novērtēšana ir jāveic samērīgā veidā un patērētāja interesēs, lai novērstu bezatbildīgu kreditēšanas praksi un pārmērīgas parādsaistības, un būtu jāņem vērā visi nepieciešamie un būtiskie faktori, kas varētu ietekmēt patērētāja spēju atmaksāt kredītu. Atmaksas grafiks ir jāpielāgo konkrētā patērētāja vajadzībām un atmaksas spējai. Pozitīvs novērtējums neskar kredīta devēja līgumslēgšanas brīvību attiecībā uz kredīta piešķiršanu.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Patērētāja spējas atmaksāt kredītu novērtēšana ir jāpamato ar informāciju par patērētāja finanšu un ekonomisko situāciju. Šāda informācija ir nepieciešama un samērīga ar kredīta veidu, darbības ilgumu, vērtību un riskiem, kas rodas patērētājam, tajā skaitā ar riskiem, kas saistīti ar ienākumu saņemšanu nākotnē. Šādai informācijai ir jāietver vismaz patērētāja izdevumus un dokumentāri pamatotos ienākumus, tostarp tajā būtu pienācīgi jāņem vērā patērētāja pašreizējās saistības un saistību neizpildes. Šādai informācijai nevajadzētu ietvert īpašu kategoriju personas datus, piemēram, datus par veselību, tostarp datus par saslimšanu ar vēzi, kā arī informāciju, kas iegūta no sociālajiem tīkliem.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pienākums reģistrēties ir paredzēts tikai kredīta starpniekiem un kredīta starpnieka pārstāvjiem, kas piedāvā patērētājam kredītu, kura atmaksa nodrošināta ar nekustamā īpašuma hipotēku vai kura mērķis ir iegūt vai saglabāt tiesības uz nekustamo īpašumu. Un licencēšanas prasības netiek attiecinātas uz atlikto maksājumu pakalpojumu sniedzējiem.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2023/2225 prasības nosaka, ka kredīta devējiem un kredīta starpniekiem, tostarp iestādēm, kas nav kredītiestādes, piemēro pienācīgu atzīšanas procedūru, tostarp atļaujas piešķiršanas procedūru vai to iekļaušanu reģistrā, un uzraudzības pasākumus, ko īsteno kompetentā iestāde.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8.</w:t>
      </w:r>
      <w:r w:rsidR="00000000" w:rsidRPr="00000000" w:rsidDel="00000000">
        <w:rPr>
          <w:vertAlign w:val="superscript"/>
          <w:rtl w:val="0"/>
        </w:rPr>
        <w:t xml:space="preserve">2</w:t>
      </w:r>
      <w:r w:rsidR="00000000" w:rsidRPr="00000000" w:rsidDel="00000000">
        <w:rPr>
          <w:rtl w:val="0"/>
        </w:rPr>
        <w:t xml:space="preserve"> pantā  tiek paredzēts, ka jāreģistrē ir visi starpnieki, ne tikai starpnieki, kas piedāvā patērētājam kredītu, kura atmaksa nodrošināta ar nekustamā īpašuma hipotēku vai kura mērķis ir iegūt vai saglabāt tiesības uz nekustamo īpašumu, kā tas bija līdz šim.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kredīta starpnieku nav uzskatāma persona, kas tikai tieši vai netieši iepazīstina patērētāju ar kredīta devēju vai kredīta starpnieku.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lielajiem uzņēmumiem, kuri piešķir kredītu atlikta maksājuma veidā, būs jāsaņem licence. No šī pienākuma tiek atbrīvoti lielie uzņēmumi, uz kuriem prasības patērētāju kreditēšanas jomā netiek piemērotu (ja līgums tiek slēgts fiziskā veikalā un maksājuma pilnībā jāveic 50 dienu laikā vai ja tiek slēgts distances līgums un tādā gadījumā maksājums jāveic 14 dienu laikā). No atzīšanas un reģistrācijas prasībām tiek atbrīvoti preču piegādātāji vai pakalpojumu sniedzēji, kuri uzskatāmi par mikrouzņēmumiem, mazajiem un vidējiem uzņēmumiem, kā definēts Komisijas 2003. gada 6. maija Ieteikumā 2003/361/EK (C(2003) 1422) par mikrouzņēmumu, mazo un vidējo uzņēmumu definīciju (turpmāk – Komisijas Ieteikums 2003/361/EK) (17) un kuri rīkojas kā kredīta palīgstarpnieki, vai kuri piešķir kredītu atlikta maksājuma veidā sevis piedāvāto preču un pakalpojumu iegādei, ja kredīts ir piešķirts bez procentiem un citām maksām, un ja netiek iesaistīti citi kredīta devēji. Šo atbrīvošanu nepiemēro lieliem uzņēmumiem.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Krāpšana digitālajā vidē ir identificēta Nacionālajā risku novērtējumā[1] ar novērtējumu - vidēji augsti draudi. Šobrīd spēkā esošais patērētāju kreditēšanas regulējums neparedz pienākumu kredīta devējiem ņemt vērā patērētāja veikto atzīmi par nevēlēšanos saņemt kredītu.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Latvijas Republikā darbojas divi licencētie kredītinformācijas biroji – AS “Kredītinformācijas Birojs” un AS “CREFO Birojs”, un tie ne tikai uztur un apmainās ar personu kredītinformāciju, bet arī nodrošina patērētājiem iespēju pieslēgties to sistēmām un pārbaudīt apkopotu informāciju par savu kredītvēsturi.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pašlaik AS “CREFO Birojs” savā mājas lapā piedāvā lietotājiem iespēju veikt atzīmi par to, ka viņi nevēlas saņemt kredītu. AS “CREFO Birojs” šo pakalpojumu nodrošina brīvprātīgi. Savukārt AS “Kredītinformācijas Birojs” ir uzsācis darbu pie šādas funkcionalitātes ieviešanas un tā patērētājiem būs pieejama jau tuvākajā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Nacionālais NILLTPF risku novērtēšanas ziņojums par 2020.–2022.gadu https://fid.gov.lv/uploads/files/2023/NACION%C4%80LAIS%20NILLTPF%20RISKU%20NOV%C4%92RT%C4%92%C5%A0ANAS%20ZI%C5%85OJUMS%20PAR%202020.%E2%80%932022.%20GADU.pdf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Patērētājiem tiks dota iespēja atteikties no kredīta saņemšanas, nodrošinot to caur kredītinformācijas birojiem. Arī citās valstīs iespēju personām atteikties no kredīta saņemšanas un šo datubāžu uzturēšanu nodrošina kredītinformācijas biroji vai institūcijas, kas veic līdzīgas funkcijas. Attiecīgi, ja kredītinformācijas biroji ir pašatteikušos personu reģistra pārziņi, tad kredīta devējiem nav jāpieslēdzas pie vēl kādām citām sistēmām un datubāzēm, lai konstatētu, ka patērētājs ir liedzis sev tiesības slēgt kreditēšanas līgumus - pieprasot informāciju par maksātspējas datiem kredītinformācijas birojiem, kredīta devējam uzreiz tiek sniegta informācija par liegumu. Attiecīgi juridiskās personas, kuras jau veic personu finanšu datu uzglabāšanu un kurām ir tieša sadarbība ar patērētāja kreditēšanas pakalpojumu sniedzējiem, ir vispiemērotākie pārziņi pašatteikušos personu reģistrācijai.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kredīta devējiem pienākumu ņemt vērā šādas atzīmes kredīta pieteikuma izskatīšanas procesā - ja patērētājs ir izdarījis šādu atzīmi, kredītu viņam piešķirt nedrīkst. Savukārt likumprojekts "Grozījumi Kredītinformācijas biroju likumā" (25-TA-315) paredz patērētāja tiesības kredītinformācijas biroju datubāzēs veikt atzīmi par to, ka viņš nevēlas saņemt kredītu.  Šo grozījumu mērķis ir patērētāju aizsardzība no krāpšanas digitālajā vidē, kad prettiesiski piesavinās autentifikācijas līdzekļus, kā rezultātā tiek noslēgti krāpnieciski patērētāju kreditēšanas līgumi. Tādejādi tiks nodrošināta iespēja vienkāršā veidā veikt atzīmi par nevēlēšanos saņemt kredītu, kas ne tikai mazinās nepārdomātu patērētāja kreditēšanas līgumu slēgšanu, bet arī dos iespēju atzīmi veikt tādam patērētāju lokam, kas vēlas pasargāt sevi no krāpnieciskiem gadījumiem, kad tiek nozagti personas dati un/vai bankas autentifikācijas ierīces, lai noslēgtu kreditēšanas līgumus personas vārdā un tad izkrāptu naudas 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esošais patērētāju kreditēšanas normatīvais regulējums tieši neparedz pienākumu kredīta devējam kavētu maksājumu gadījumā piemērot iecietības pasākumus, pirms tiek uzsāktas parādu atgūšanas vai piedziņas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Patērētājam, kas saskaras vai varētu saskarties ar maksājumu grūtībām, netiek nodrošināta atbilstoša specializēta palīdzība.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devējiem un patērētājiem parādu atgūšanas vai piedziņas darbības rada būtiskas sekas, tādēļ kredīta devējiem būtu jāizrāda saprātīga iecietība pirms parādu atgūšanas vai piedziņas darbību uzsākšanas. Lemjot par to, vai ir lietderīgi īstenot iecietības pasākumus un vai ir pamatoti tos piedāvāt atkārtoti, kredīta devējam cita starpā būtu jāņem vērā patērētāja personīgā situācija, piemēram, patērētāja intereses un tiesības, tā spēja atmaksāt kredītu un saprātīgi vajadzīgie iztikas līdzekļi, turklāt kredīta devējam būtu jāierobežo patērētāja izmaksas saistību neizpildes gadījumā. Ja patērētājs saprātīgā termiņā neatbild uz kredīta devēja piedāvājumu, no kredīta devēja netiek prasīts, lai viņš piedāvātu iecietības pasākumus atkārtoti.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iecietības pasākumi tiek uzskatīti par piemērotiem, tajos būtu jāietver sākotnējā kreditēšanas līguma noteikumu grozījumi un tajos varētu cita starpā iekļaut pilnīgu vai daļēju kreditēšanas līguma pārkreditēšanu. Minēto noteikumu grozījumos var iekļaut: kreditēšanas līguma termiņa pagarināšanu; kreditēšanas līguma veida maiņu; visas maksājuma summas vai tās daļas atmaksājuma atlikšanu uz laiku; aizņēmuma likmes samazināšanu; maksājumu brīvdienu piedāvāšanu; maksājumu sadalīšanu; valūtas konvertēšanu; daļēju parāda atlaišanu un parādu apvienošanu. Ja iecietības pasākumi tiek uzskatīti par piemērotiem, nebūtu jāprasa, lai kredīta devēji, grozot kreditēšanas līguma noteikumus, izvērtētu patērētāja spēju atmaksāt kredītu, ja vien tiek samazināts ikmēneša maksājums un kopējā summa, kas jāmaksā patērētājam, ar minētajiem noteikumu grozījumiem netiek būtiski palielināta. Par būtisku ir uzskatāms kredīta kopējās summas palielinājums virs 20%.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Patērētājiem, kuriem ir grūtības izpildīt savas finansiālās saistības, ir jānodrošina specializēta palīdzība parādu pārvaldībā. Likumprojekts paredz, ka šādu pakalpojumu nodrošinās Patērētāju tiesību aizsardzības centrs (turpmāk - PTAC). Parādu jautājumos sniegto konsultāciju mērķis ir palīdzēt patērētājiem, kuri saskaras ar finansiālām grūtībām, un sniegt atbalstu parāda atmaksas jautājumos, vienlaikus ļaujot saglabāt pienācīgu dzīves līmeni un neaizskarot viņu cieņu. Parādu konsultācijas ietver katra individuālā patērētāja situācijas izvērtēšanu un palīdzību, piemēram, budžeta plānošanā, ieteikumus saistību apvienošanai vai pārkreditēšanai u.c. Patērētājiem par šo pakalpojumu var tikt piemērota ierobežota maksa, kas sedz tikai darbības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devējiem ir noteikta loma pārmērīgu parādsaistību nepieļaušanā, laikus apzinot un atbalstot patērētājus, kuri nonākuši finansiālās grūtībās. Tādēļ kredīta devējiem ir jāievieš procesi un politikas, kas ļauj identificēt šādus patērētājus un nodrošinātu, ka viņi patērētājiem iesaka izmantot konsultāciju pakalpojumus parādu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parādu konsultāciju norises gaitu, PTAL tiek iekļauta 8.panta 4.</w:t>
      </w:r>
      <w:r w:rsidR="00000000" w:rsidRPr="00000000" w:rsidDel="00000000">
        <w:rPr>
          <w:vertAlign w:val="superscript"/>
          <w:rtl w:val="0"/>
        </w:rPr>
        <w:t xml:space="preserve">9</w:t>
      </w:r>
      <w:r w:rsidR="00000000" w:rsidRPr="00000000" w:rsidDel="00000000">
        <w:rPr>
          <w:rtl w:val="0"/>
        </w:rPr>
        <w:t xml:space="preserve"> daļa, kas paredz iespēju patērētājam vienkopus saņemt visu informāciju par savām saistībām un saistību izpildes gaitu, vēršoties kādā no kredītinformācijas birojiem.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uz šo brīdi patērētājam kā datu subjektam jau pastāv iespējas vērsties pie dažādiem pārziņiem un pieprasīt pie tiem apstrādāto informāciju, tomēr ņemot vērā, ka ar kredītinformāciju saistītās organizācijas ir vairākas, kas datu subjektiem apgrūtina informācijas savākšanu. Šie grozījumi neaizliedz patērētājam arī turpmāk vērsties arī pie katra pārziņa ar individualizētu datu subjekta pieprasījuma, bet ļautu arī “vienas pieturas aģentūras” principa izpratnē saņemt savus datus pie viena kredītinformācijas biroja vienā vietā un pārskatāmā 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informāciju kredīta devējs jau šobrīd saņem no kredītinformācijas birojiem patērētāja kredītspējas izvērtēšanai pirms kredīta piešķiršanas. Grozījumu mērķis ir nodrošināt iespēju šādu informāciju apkopotā veidā iegūt arī pašam patērētājam savas kredītspējas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varētu uzskatīt, ka šāds regulējums paredz starpposmu starp patērētāju un kādu no datu sniedzējiem, tomēr šāds pakalpojums patērētājam ērti un vienkopus sniedz viņam visu par sevi nepieciešamo informāciju, kuru tas tālāk var iesniegt parādu konsultantam. Jānorāda, ka parādu konsultēšanas pamatā ir arī svarīgi novērtēt visu pieejamo informāciju, apkopojot ne tikai to, ko deklarē patērētājs, bet arī iegūstot informāciju no dažādiem datu sniedzējiem, lai konsultācijas būtu maksimāli objektīvas un tiešām sniegtu specializētu, pilnvērtīgu un ticamu katra individuālā patērētāja situācijas izvērtēšanu un palīdzību.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noteikts zināšanu un kompetences līmenis kredīta devēju, kredīta starpnieku un kredīta starpnieku pārstāvju personālam līdz šim tika prasīts tikai hipotekāro kredītu devējiem.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Patērētājiem ir jābūt pārliecībai, ka kredīta devēji un kredīta starpnieki ievēro patērētāja intereses, tostarp viņu iespējamo neaizsargātību un grūtības saprast pakalpojumu, pamatojoties uz informāciju, kas kredīta devējam vai kredīta starpniekam pieejama attiecīgā laikā, un uz pamatotiem pieņēmumiem par riskiem attiecībā uz patērētāja situāciju piedāvātā kreditēšanas līguma darbības laikā. Svarīgs aspekts šādas patērētāju uzticēšanās panākšanai ir prasība nodrošināt šajā nozarē augstu taisnīguma, godīguma un profesionalitātes līmeni, kas ietver arī atbildīgu rīcību, lai izvairītos no prakses, kas negatīvi ietekmē patērētājus, un interešu konfliktu, tostarp pienācīgu atlīdzības radīto interešu konfliktu pārvaldību, kā arī sniegt patērētāju interesēm maksimāli atbilstošas konsultācijas. Arī veidam, kādā kredīta devējs atalgo savu personālu un kredīta starpniekus, kā arī veids, kādā kredīta starpnieks atalgo savu personālu un kredīta starpnieka pārstāvjus, nedrīkst būt par šķērsli darbinieku pienākumam rīkoties godīgi, taisnīgi, pārredzami un profesionāli, ņemot vērā patērētāja tiesības un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devēju un kredīta starpnieku darbiniekiem ir jānodrošina atbilstošs zināšanu un kompetences līmenis, lai sasniegtu augsta līmeņa profesionalitāti. Tāpēc kredīta devējiem un kredīta starpniekiem ir jāpierāda, ka viņiem ir attiecīgās zināšanas un kompetence uzņēmuma līmenī, pamatojoties uz minimālajām zināšanu un kompetences prasībām. Šīm prasībām ir jāattiecas gan uz klientu apkalpošanas struktūrvienību darbiniekiem, gan atbalsta struktūrvienību darbiniekiem, tostarp, vadības un attiecīgā gadījumā kredīta devēju un kredīta starpnieku valdes locekļiem, kas pilda svarīgu lomu kreditēšanas līguma procesā. Personas, kuras veic atbalsta funkcijas, kas nav saistītas ar kreditēšanas līguma procesu, tostarp darbinieki, kas strādā cilvēkresursu jomā un informācijas un sakaru tehnoloģiju jomā, nebūtu jāuzskata par darbiniekiem, uz kuriem jāattiecina šīs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prasības noteiktas PTAL 8.pantā no astoņpadsmitās līdz divdesmit trešajai daļai.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konstatēti atsevišķi gadījumi, kad kredīta devējs patērētājam liek segt izmaksas par atgādinājumu nosūtīšanu par maksājumu kavējumu, kas būtiski pārsniedz reālās izmaksas un faktiski ir papildus ienākumu gūšanas avots.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situācijas, kad patērētājam ir jāsedz ar atgādinājumu ziņu, vēstuļu nosūtīšanu saistīti izdevumi par ziņām, kas faktiski ir patērētāja rīcībā, proti, patērētāji apzinās, ka viņiem ir saistību kavējums, un kas kopumā var radīt ievērojamas izmaksas patērētājam, kam jau tā ir finansiālas grūtības, PTAL 8.pantā paredzēts iekļaut 3.</w:t>
      </w:r>
      <w:r w:rsidR="00000000" w:rsidRPr="00000000" w:rsidDel="00000000">
        <w:rPr>
          <w:vertAlign w:val="superscript"/>
          <w:rtl w:val="0"/>
        </w:rPr>
        <w:t xml:space="preserve">1</w:t>
      </w:r>
      <w:r w:rsidR="00000000" w:rsidRPr="00000000" w:rsidDel="00000000">
        <w:rPr>
          <w:rtl w:val="0"/>
        </w:rPr>
        <w:t xml:space="preserve"> daļu, kas paredz, ka kredīta devējam par maksājuma kavējumu ir tiesības piemērot tikai nokavējuma procentus un/vai līgumsodu, neietverot citus papildu maksājumus. Šiem saistību pastiprinājuma līdzekļiem jābūt pietiekamiem, lai segtu ar ārpustiesas parāda atgūšanu saistītos izdevumus.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PTAL nav noteikts termiņš, kādā kredīta devējam pēc patērētāja pieprasījuma ir jāsniedz informācija par provizorisko saistību atlikumu uz konkrētu dienu, kas kavē pārkreditēšanas procesu.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pārkreditēšanās problemātiku, kad process tiek paildzināts no sākotnējā kredīta devēja puses, PTAL 8. pantā paredzēts iekļaut 4.</w:t>
      </w:r>
      <w:r w:rsidR="00000000" w:rsidRPr="00000000" w:rsidDel="00000000">
        <w:rPr>
          <w:vertAlign w:val="superscript"/>
          <w:rtl w:val="0"/>
        </w:rPr>
        <w:t xml:space="preserve">17</w:t>
      </w:r>
      <w:r w:rsidR="00000000" w:rsidRPr="00000000" w:rsidDel="00000000">
        <w:rPr>
          <w:rtl w:val="0"/>
        </w:rPr>
        <w:t xml:space="preserve"> daļu, kas paredz pienākumu kredīta devējam 3 darbdienu laikā pēc patērētāja pieprasījuma sniegt bezmaksas informāciju par provizorisko saistību atlikumu uz konkrētu dienu. Šāds termiņš ir noteikts arī hipotekārās pārkreditēšanas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Likumprojektam būs pozitīva ietekme uz patērētājiem, jo uzlabojoties kreditēšanas videi, uzlabosies arī saistību izpildes kvalitāte, kā arī samazināsies to gadījumu skaits, kad patērētājs cieš finansiālus zaudējumus.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devēji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starpnieki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devējiem tiek paplašināts patērētāja informēšanas pienākums atbilstoši mūsdienu tendencēm, paredzot, piemēram, pienākumu informēt patērētāju par automatizētas personas datu apstrādes izmantošanu piedāvājot patērētājam personalizētu piedāvājumu.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Licencēšanas prasības turpmāk tiks attiecinātas uz atlikto maksājumu pakalpojumu sniedzējiem ar noteiktiem izņēmumiem.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radīt kredīta starpnieku un kredīta starpnieku pārstāvju reģistrēšanas sistēmu, kas tādejādi palielinās administratīvo slogu tām personām, kas iesaistītas kredīta starpniecības pakalpojumu sniegšanā. Vienlaikus norādāms, ka, ņemot vērā patērētājam radīto risku no ilgtermiņa finansiālajām saistībām un to nepildīšanas sekām, šāds slogs ir samērojams ar potenciālajiem ieguvumiem patērētājam un tirgus sakārtošanas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administratīvā sloga pieaugums kredīta starpniekiem un preču un pakalpojumu sniedzējiem, kas ir lieli uzņēmumi un piedāvā atliktos maksājumus, lai patērētājs norēķinātos par precēm un pakalpojumiem.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kredīta devēji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Kredīta devējiem turpmāk būs jāizmanto jaunā Eiropas patēriņa kredīta standartinformācijas veidlapa, tiek papildinātas patērētāja informēšanas prasības, piemēram, ar vispārīgi sniedzamo informāciju.
Kredīta devējiem būs jānodrošina attiecīgs darbinieku zināšanu un atalgojuma līmenis. Līdz šim tādas prasības bija noteiktas kredīta devējiem, kuri izsniedz hipotekāros kredītus, taču tagad prasības tiek attiecinātas uz visiem kredīta devējiem.
Kredīta devēja izmaksas, ja tādas radīsies, varēs kompensēt, iekļaujot šos izdevumus procentu likmēs.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kredīta starpnieki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Likumprojekts paredz ieviest reģistrācijas un ikgadējo uzraudzības valsts nodevu kredīta starpniekiem. Līdz šim PTAC reģistrēja un valsts nodevu maksāja tikai kredītu starpnieki, kas piedāvā patērētājam kredītu, kura atmaksa nodrošināta ar nekustamā īpašuma hipotēku vai kura mērķis ir iegūt vai saglabāt tiesības uz nekustamo īpašumu.
Pēc publiski pieejamās informācijas tirgū darbojas ap 15-20 kredīta starpnieku, kas ir juridiskas personas.
Kredīta starpnieku administratīvo izmaksas varētu ietvert reģistrācijas iesnieguma sagatavošanu un iesniegšanu, informēšanu par izmaiņām reģistrā iekļautajā informācijā. Ņemot vērā, ka šobrīd nav zināms, vai šie starpnieki izvēlēsies reģistrēties, nav iespējams aprēķināt administratīvās izmaksas.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kredīta ņēmēji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kredīta devēji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Turpmāk par kredīta devēju tiks uzskatīti un licencēšanas prasības tiks attiecinātas arī uz preču piegādātājiem vai pakalpojumu sniedzējiem, kuri uzskatāmi par lielu uzņēmumu, kā definēts Komisijas Ieteikumā 2003/361/EK (17) un kuri rīkojas kā kredīta palīgstarpnieki, vai kuri piešķir kredītu atlikta maksājuma veidā sevis piedāvāto preču un pakalpojumu iegādei, ja kredīts ir piešķirts bez procentiem un citām maksām, izņemot ierobežotas maksas par maksājumu kavējumiem saskaņā ar valsts tiesību aktiem, un ja trešā persona nepiedāvā kredītu.
Esam identificējuši potenciāli piecus uzņēmumus, kuri šobrīd piedāvā atliktos maksājumus un atbilst visiem nosacījumiem, lai tiem piemērotu licencēšanas prasības. Taču nav zināms, vai šie uzņēmumi nemainīs biznesa modeli, piesaistot trešās personas, kuras izsniegtu patērētājam kredītu šo preču vai pakalpojumu iegādei, jo licences maksa ir pietiekoši augsta un prasības ir augstas, lai uzņēmēji varētu apsvērt biznesa prakses maiņu.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kredīta starpnieki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Likumprojekts paredz ieviest reģistrācijas un ikgadējo uzraudzības valsts nodevu kredīta starpniekiem. Reģistrācijas valsts nodevas apmērs juridiskajām personām ir 1000 euro. Ikgadējās uzraudzības valsts nodevas apmērs juridiskajām personām 500 euro apmērā.  Pēc publiski pieejamās informācijas tirgū darbojas ap 15-20 kredīta starpnieku, kas ir juridiskas personas.  Taču šobrīd nav iespējams aprēķināt potenciālos ieņēmumus valsts budžetā no kredītu starpnieku reģistrācijas valsts nodevas, jo daļa starpnieku, kad ir reģistrēti jau šobrīd, varētu piedāvāt arī patēriņa kredītus.</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-366 712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-346 012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-353 040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-366 712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-346 012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-353 040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366 712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346 012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353 040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366 712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346 012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353 040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366 712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346 012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353 040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PTAC nepieciešamas 5 jaunas štata vietas kredītu starpnieku reģistrēšanai un uzraudzībai, kā arī parādu konsultāciju pakalpojuma nodrošināšanai.</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saistīts ar Ministru kabinets noteikumu projektiem "Grozījumi Ministru kabineta 2016. gada 25. oktobra noteikumos Nr. 691 "Noteikumi par patērētāja kreditēšanu"” (25-TA-238), “Grozījumi Ministru kabineta 2016. gada 13. decembra noteikumos Nr. 772 "Kredīta starpnieku un kredīta starpnieku pārstāvju reģistrācijas noteikumi"” (25-TA-316).</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32023L2225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18. oktobra Direktīva (ES) 2023/2225 par patērētāju kredītlīgumiem un ar ko atceļ Direktīvu 2008/48/EK(turpmāk - Direktīva 2023/2225)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Straujā tehnoloģiskā attīstība ir radījusi būtiskas izmaiņas patēriņa kredītu tirgū gan piedāvājuma, gan arī pieprasījuma ziņā, piemēram, jaunu produktu parādīšanos un patērētāju uzvedības un izvēles attīstību. Direktīva 2023/2225 pieņemta, lai risinātu izaicinājumus, ko radījusi tehnoloģiju attīstība un lai panāktu augstu patērētāju tiesību aizsardzības līmeni.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32023L2673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22. novembra Direktīva (ES) 2023/2673 ar ko groza Direktīvu 2011/83/ES attiecībā uz attālināti noslēgtiem finanšu pakalpojumu līgumiem un atceļ Direktīvu 2002/65/EK (turpmāk - Direktīva 2023/2673)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Straujā tehnoloģiju attīstība ir būtiski mainījusi finanšu pakalpojumu tirgu, tādēļ Direktīvas 2023/2673 mērķis ir saskaņot un uzlabot patērētāju aizsardzību visā iekšējā tirgū, risinot digitalizācijas radītās problēmas, attiecībā uz attālināti noslēgtiem finanšu pakalpojumu līgumiem.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2023. gada 18. oktobra Direktīva (ES) 2023/2225 par patērētāju kredītlīgumiem un ar ko atceļ Direktīvu 2008/48/EK(turpmāk - Direktīva 2023/2225)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Patērētāju tiesību aizsardzības likuma (turpmāk - PTAL) 8.panta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pirmā daļa, 8.panta 1</w:t>
            </w:r>
            <w:r w:rsidR="00000000" w:rsidRPr="00000000" w:rsidDel="00000000">
              <w:rPr>
                <w:sz w:val="24"/>
                <w:vertAlign w:val="superscript"/>
                <w:rtl w:val="0"/>
              </w:rPr>
              <w:t xml:space="preserve">1</w:t>
            </w:r>
            <w:r w:rsidR="00000000" w:rsidRPr="00000000" w:rsidDel="00000000">
              <w:rPr>
                <w:sz w:val="24"/>
                <w:rtl w:val="0"/>
              </w:rPr>
              <w:t xml:space="preserve"> daļa, 8.panta 4.</w:t>
            </w:r>
            <w:r w:rsidR="00000000" w:rsidRPr="00000000" w:rsidDel="00000000">
              <w:rPr>
                <w:sz w:val="24"/>
                <w:vertAlign w:val="superscript"/>
                <w:rtl w:val="0"/>
              </w:rPr>
              <w:t xml:space="preserve">3 </w:t>
            </w:r>
            <w:r w:rsidR="00000000" w:rsidRPr="00000000" w:rsidDel="00000000">
              <w:rPr>
                <w:sz w:val="24"/>
                <w:rtl w:val="0"/>
              </w:rPr>
              <w:t xml:space="preserve">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Ministru kabineta 2016. gada 25. oktobra noteikumu Nr.691 “Noteikumi par patērētāja kreditēšanu” (turpmāk - Noteikumi Nr.691) 3.punktu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4.</w:t>
            </w:r>
            <w:r w:rsidR="00000000" w:rsidRPr="00000000" w:rsidDel="00000000">
              <w:rPr>
                <w:sz w:val="24"/>
                <w:vertAlign w:val="superscript"/>
                <w:rtl w:val="0"/>
              </w:rPr>
              <w:t xml:space="preserve">3</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41., 42., 42.1, 42.2, 42.3 un 63.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4.</w:t>
            </w:r>
            <w:r w:rsidR="00000000" w:rsidRPr="00000000" w:rsidDel="00000000">
              <w:rPr>
                <w:sz w:val="24"/>
                <w:vertAlign w:val="superscript"/>
                <w:rtl w:val="0"/>
              </w:rPr>
              <w:t xml:space="preserve">3</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2.10.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1.panta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1.panta 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2.2.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2.3.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2.4.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2.6.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1.panta 2.</w:t>
            </w:r>
            <w:r w:rsidR="00000000" w:rsidRPr="00000000" w:rsidDel="00000000">
              <w:rPr>
                <w:sz w:val="24"/>
                <w:vertAlign w:val="superscript"/>
                <w:rtl w:val="0"/>
              </w:rPr>
              <w:t xml:space="preserve">1 </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1.panta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20.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2.11.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1.panta 20.punkts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1.panta 21.punkts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 panta 15.daļa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2.13.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2.12.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19.1,  20., 20.1, 22.211, 22.212, 26., 30., 42.1, 47., 48., 56.9., 56.10., 57. un 95.2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3.</w:t>
            </w:r>
            <w:r w:rsidR="00000000" w:rsidRPr="00000000" w:rsidDel="00000000">
              <w:rPr>
                <w:sz w:val="24"/>
                <w:vertAlign w:val="superscript"/>
                <w:rtl w:val="0"/>
              </w:rPr>
              <w:t xml:space="preserve">1</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19.</w:t>
            </w:r>
            <w:r w:rsidR="00000000" w:rsidRPr="00000000" w:rsidDel="00000000">
              <w:rPr>
                <w:sz w:val="24"/>
                <w:vertAlign w:val="superscript"/>
                <w:rtl w:val="0"/>
              </w:rPr>
              <w:t xml:space="preserve">1</w:t>
            </w:r>
            <w:r w:rsidR="00000000" w:rsidRPr="00000000" w:rsidDel="00000000">
              <w:rPr>
                <w:sz w:val="24"/>
                <w:rtl w:val="0"/>
              </w:rPr>
              <w:t xml:space="preserve">.punktu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19.</w:t>
            </w:r>
            <w:r w:rsidR="00000000" w:rsidRPr="00000000" w:rsidDel="00000000">
              <w:rPr>
                <w:sz w:val="24"/>
                <w:vertAlign w:val="superscript"/>
                <w:rtl w:val="0"/>
              </w:rPr>
              <w:t xml:space="preserve">2</w:t>
            </w:r>
            <w:r w:rsidR="00000000" w:rsidRPr="00000000" w:rsidDel="00000000">
              <w:rPr>
                <w:sz w:val="24"/>
                <w:rtl w:val="0"/>
              </w:rPr>
              <w:t xml:space="preserve">.punktu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20.punktu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20.</w:t>
            </w:r>
            <w:r w:rsidR="00000000" w:rsidRPr="00000000" w:rsidDel="00000000">
              <w:rPr>
                <w:sz w:val="24"/>
                <w:vertAlign w:val="superscript"/>
                <w:rtl w:val="0"/>
              </w:rPr>
              <w:t xml:space="preserve">1</w:t>
            </w:r>
            <w:r w:rsidR="00000000" w:rsidRPr="00000000" w:rsidDel="00000000">
              <w:rPr>
                <w:sz w:val="24"/>
                <w:rtl w:val="0"/>
              </w:rPr>
              <w:t xml:space="preserve">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21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22.</w:t>
            </w:r>
            <w:r w:rsidR="00000000" w:rsidRPr="00000000" w:rsidDel="00000000">
              <w:rPr>
                <w:sz w:val="24"/>
                <w:vertAlign w:val="superscript"/>
                <w:rtl w:val="0"/>
              </w:rPr>
              <w:t xml:space="preserve">1</w:t>
            </w:r>
            <w:r w:rsidR="00000000" w:rsidRPr="00000000" w:rsidDel="00000000">
              <w:rPr>
                <w:sz w:val="24"/>
                <w:rtl w:val="0"/>
              </w:rPr>
              <w:t xml:space="preserve">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22.</w:t>
            </w:r>
            <w:r w:rsidR="00000000" w:rsidRPr="00000000" w:rsidDel="00000000">
              <w:rPr>
                <w:sz w:val="24"/>
                <w:vertAlign w:val="superscript"/>
                <w:rtl w:val="0"/>
              </w:rPr>
              <w:t xml:space="preserve">2</w:t>
            </w:r>
            <w:r w:rsidR="00000000" w:rsidRPr="00000000" w:rsidDel="00000000">
              <w:rPr>
                <w:sz w:val="24"/>
                <w:rtl w:val="0"/>
              </w:rPr>
              <w:t xml:space="preserve">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98.</w:t>
            </w:r>
            <w:r w:rsidR="00000000" w:rsidRPr="00000000" w:rsidDel="00000000">
              <w:rPr>
                <w:sz w:val="24"/>
                <w:vertAlign w:val="superscript"/>
                <w:rtl w:val="0"/>
              </w:rPr>
              <w:t xml:space="preserve">1</w:t>
            </w:r>
            <w:r w:rsidR="00000000" w:rsidRPr="00000000" w:rsidDel="00000000">
              <w:rPr>
                <w:sz w:val="24"/>
                <w:rtl w:val="0"/>
              </w:rPr>
              <w:t xml:space="preserve">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27.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26.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29.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10.punkts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30.</w:t>
            </w:r>
            <w:r w:rsidR="00000000" w:rsidRPr="00000000" w:rsidDel="00000000">
              <w:rPr>
                <w:sz w:val="24"/>
                <w:vertAlign w:val="superscript"/>
                <w:rtl w:val="0"/>
              </w:rPr>
              <w:t xml:space="preserve">1</w:t>
            </w:r>
            <w:r w:rsidR="00000000" w:rsidRPr="00000000" w:rsidDel="00000000">
              <w:rPr>
                <w:sz w:val="24"/>
                <w:rtl w:val="0"/>
              </w:rPr>
              <w:t xml:space="preserve">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41. un 42.</w:t>
            </w:r>
            <w:r w:rsidR="00000000" w:rsidRPr="00000000" w:rsidDel="00000000">
              <w:rPr>
                <w:sz w:val="24"/>
                <w:vertAlign w:val="superscript"/>
                <w:rtl w:val="0"/>
              </w:rPr>
              <w:t xml:space="preserve">1</w:t>
            </w:r>
            <w:r w:rsidR="00000000" w:rsidRPr="00000000" w:rsidDel="00000000">
              <w:rPr>
                <w:sz w:val="24"/>
                <w:rtl w:val="0"/>
              </w:rPr>
              <w:t xml:space="preserve">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42.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42.</w:t>
            </w:r>
            <w:r w:rsidR="00000000" w:rsidRPr="00000000" w:rsidDel="00000000">
              <w:rPr>
                <w:sz w:val="24"/>
                <w:vertAlign w:val="superscript"/>
                <w:rtl w:val="0"/>
              </w:rPr>
              <w:t xml:space="preserve">2</w:t>
            </w:r>
            <w:r w:rsidR="00000000" w:rsidRPr="00000000" w:rsidDel="00000000">
              <w:rPr>
                <w:sz w:val="24"/>
                <w:rtl w:val="0"/>
              </w:rPr>
              <w:t xml:space="preserve">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42.</w:t>
            </w:r>
            <w:r w:rsidR="00000000" w:rsidRPr="00000000" w:rsidDel="00000000">
              <w:rPr>
                <w:sz w:val="24"/>
                <w:vertAlign w:val="superscript"/>
                <w:rtl w:val="0"/>
              </w:rPr>
              <w:t xml:space="preserve">3</w:t>
            </w:r>
            <w:r w:rsidR="00000000" w:rsidRPr="00000000" w:rsidDel="00000000">
              <w:rPr>
                <w:sz w:val="24"/>
                <w:rtl w:val="0"/>
              </w:rPr>
              <w:t xml:space="preserve">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98.</w:t>
            </w:r>
            <w:r w:rsidR="00000000" w:rsidRPr="00000000" w:rsidDel="00000000">
              <w:rPr>
                <w:sz w:val="24"/>
                <w:vertAlign w:val="superscript"/>
                <w:rtl w:val="0"/>
              </w:rPr>
              <w:t xml:space="preserve">1</w:t>
            </w:r>
            <w:r w:rsidR="00000000" w:rsidRPr="00000000" w:rsidDel="00000000">
              <w:rPr>
                <w:sz w:val="24"/>
                <w:rtl w:val="0"/>
              </w:rPr>
              <w:t xml:space="preserve">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45.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47.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47.</w:t>
            </w:r>
            <w:r w:rsidR="00000000" w:rsidRPr="00000000" w:rsidDel="00000000">
              <w:rPr>
                <w:sz w:val="24"/>
                <w:vertAlign w:val="superscript"/>
                <w:rtl w:val="0"/>
              </w:rPr>
              <w:t xml:space="preserve">1</w:t>
            </w:r>
            <w:r w:rsidR="00000000" w:rsidRPr="00000000" w:rsidDel="00000000">
              <w:rPr>
                <w:sz w:val="24"/>
                <w:rtl w:val="0"/>
              </w:rPr>
              <w:t xml:space="preserve">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30.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 panta 1</w:t>
            </w:r>
            <w:r w:rsidR="00000000" w:rsidRPr="00000000" w:rsidDel="00000000">
              <w:rPr>
                <w:sz w:val="24"/>
                <w:vertAlign w:val="superscript"/>
                <w:rtl w:val="0"/>
              </w:rPr>
              <w:t xml:space="preserve">5</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3.</w:t>
            </w:r>
            <w:r w:rsidR="00000000" w:rsidRPr="00000000" w:rsidDel="00000000">
              <w:rPr>
                <w:sz w:val="24"/>
                <w:vertAlign w:val="superscript"/>
                <w:rtl w:val="0"/>
              </w:rPr>
              <w:t xml:space="preserve">2</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68.</w:t>
            </w:r>
            <w:r w:rsidR="00000000" w:rsidRPr="00000000" w:rsidDel="00000000">
              <w:rPr>
                <w:sz w:val="24"/>
                <w:vertAlign w:val="superscript"/>
                <w:rtl w:val="0"/>
              </w:rPr>
              <w:t xml:space="preserve">1</w:t>
            </w:r>
            <w:r w:rsidR="00000000" w:rsidRPr="00000000" w:rsidDel="00000000">
              <w:rPr>
                <w:sz w:val="24"/>
                <w:rtl w:val="0"/>
              </w:rPr>
              <w:t xml:space="preserve">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68.</w:t>
            </w:r>
            <w:r w:rsidR="00000000" w:rsidRPr="00000000" w:rsidDel="00000000">
              <w:rPr>
                <w:sz w:val="24"/>
                <w:vertAlign w:val="superscript"/>
                <w:rtl w:val="0"/>
              </w:rPr>
              <w:t xml:space="preserve">2</w:t>
            </w:r>
            <w:r w:rsidR="00000000" w:rsidRPr="00000000" w:rsidDel="00000000">
              <w:rPr>
                <w:sz w:val="24"/>
                <w:rtl w:val="0"/>
              </w:rPr>
              <w:t xml:space="preserve">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48.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48.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49., 50., 51. un 52.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 panta 15.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53.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48.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1.</w:t>
            </w:r>
            <w:r w:rsidR="00000000" w:rsidRPr="00000000" w:rsidDel="00000000">
              <w:rPr>
                <w:sz w:val="24"/>
                <w:vertAlign w:val="superscript"/>
                <w:rtl w:val="0"/>
              </w:rPr>
              <w:t xml:space="preserve">6 </w:t>
            </w:r>
            <w:r w:rsidR="00000000" w:rsidRPr="00000000" w:rsidDel="00000000">
              <w:rPr>
                <w:sz w:val="24"/>
                <w:rtl w:val="0"/>
              </w:rPr>
              <w:t xml:space="preserve">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 panta 4.</w:t>
            </w:r>
            <w:r w:rsidR="00000000" w:rsidRPr="00000000" w:rsidDel="00000000">
              <w:rPr>
                <w:sz w:val="24"/>
                <w:vertAlign w:val="superscript"/>
                <w:rtl w:val="0"/>
              </w:rPr>
              <w:t xml:space="preserve">1 </w:t>
            </w:r>
            <w:r w:rsidR="00000000" w:rsidRPr="00000000" w:rsidDel="00000000">
              <w:rPr>
                <w:sz w:val="24"/>
                <w:rtl w:val="0"/>
              </w:rPr>
              <w:t xml:space="preserve">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 panta 4.</w:t>
            </w:r>
            <w:r w:rsidR="00000000" w:rsidRPr="00000000" w:rsidDel="00000000">
              <w:rPr>
                <w:sz w:val="24"/>
                <w:vertAlign w:val="superscript"/>
                <w:rtl w:val="0"/>
              </w:rPr>
              <w:t xml:space="preserve">1</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 panta 4.</w:t>
            </w:r>
            <w:r w:rsidR="00000000" w:rsidRPr="00000000" w:rsidDel="00000000">
              <w:rPr>
                <w:sz w:val="24"/>
                <w:vertAlign w:val="superscript"/>
                <w:rtl w:val="0"/>
              </w:rPr>
              <w:t xml:space="preserve">1 </w:t>
            </w:r>
            <w:r w:rsidR="00000000" w:rsidRPr="00000000" w:rsidDel="00000000">
              <w:rPr>
                <w:sz w:val="24"/>
                <w:rtl w:val="0"/>
              </w:rPr>
              <w:t xml:space="preserve">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 panta 4.</w:t>
            </w:r>
            <w:r w:rsidR="00000000" w:rsidRPr="00000000" w:rsidDel="00000000">
              <w:rPr>
                <w:sz w:val="24"/>
                <w:vertAlign w:val="superscript"/>
                <w:rtl w:val="0"/>
              </w:rPr>
              <w:t xml:space="preserve">10</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 panta 4.</w:t>
            </w:r>
            <w:r w:rsidR="00000000" w:rsidRPr="00000000" w:rsidDel="00000000">
              <w:rPr>
                <w:sz w:val="24"/>
                <w:vertAlign w:val="superscript"/>
                <w:rtl w:val="0"/>
              </w:rPr>
              <w:t xml:space="preserve">11</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 panta 4.</w:t>
            </w:r>
            <w:r w:rsidR="00000000" w:rsidRPr="00000000" w:rsidDel="00000000">
              <w:rPr>
                <w:sz w:val="24"/>
                <w:vertAlign w:val="superscript"/>
                <w:rtl w:val="0"/>
              </w:rPr>
              <w:t xml:space="preserve">4 </w:t>
            </w:r>
            <w:r w:rsidR="00000000" w:rsidRPr="00000000" w:rsidDel="00000000">
              <w:rPr>
                <w:sz w:val="24"/>
                <w:rtl w:val="0"/>
              </w:rPr>
              <w:t xml:space="preserve">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6.panta trešās daļas 8. un 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Pilnīgu pārņemšanu nodrošina Civillikuma 1587. un 1589.pants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4.</w:t>
            </w:r>
            <w:r w:rsidR="00000000" w:rsidRPr="00000000" w:rsidDel="00000000">
              <w:rPr>
                <w:sz w:val="24"/>
                <w:vertAlign w:val="superscript"/>
                <w:rtl w:val="0"/>
              </w:rPr>
              <w:t xml:space="preserve">13</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18.panta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4.</w:t>
            </w:r>
            <w:r w:rsidR="00000000" w:rsidRPr="00000000" w:rsidDel="00000000">
              <w:rPr>
                <w:sz w:val="24"/>
                <w:vertAlign w:val="superscript"/>
                <w:rtl w:val="0"/>
              </w:rPr>
              <w:t xml:space="preserve">4 </w:t>
            </w:r>
            <w:r w:rsidR="00000000" w:rsidRPr="00000000" w:rsidDel="00000000">
              <w:rPr>
                <w:sz w:val="24"/>
                <w:rtl w:val="0"/>
              </w:rPr>
              <w:t xml:space="preserve">daļa, 4.</w:t>
            </w:r>
            <w:r w:rsidR="00000000" w:rsidRPr="00000000" w:rsidDel="00000000">
              <w:rPr>
                <w:sz w:val="24"/>
                <w:vertAlign w:val="superscript"/>
                <w:rtl w:val="0"/>
              </w:rPr>
              <w:t xml:space="preserve">14</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18.panta 10.punkts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 panta 4.</w:t>
            </w:r>
            <w:r w:rsidR="00000000" w:rsidRPr="00000000" w:rsidDel="00000000">
              <w:rPr>
                <w:sz w:val="24"/>
                <w:vertAlign w:val="superscript"/>
                <w:rtl w:val="0"/>
              </w:rPr>
              <w:t xml:space="preserve">2</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18.panta 11.punkts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4.</w:t>
            </w:r>
            <w:r w:rsidR="00000000" w:rsidRPr="00000000" w:rsidDel="00000000">
              <w:rPr>
                <w:sz w:val="24"/>
                <w:vertAlign w:val="superscript"/>
                <w:rtl w:val="0"/>
              </w:rPr>
              <w:t xml:space="preserve">7</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Pilnīgu pārņemšanu nodrošina Kredītinformācijas biroju likuma (turpmāk - KIBL) 5. un 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Pilnīgu pārņemšanu nodrošina KIBL 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Pilnīgu pārņemšanu nodrošina  KIBL 12.pants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 panta 4.</w:t>
            </w:r>
            <w:r w:rsidR="00000000" w:rsidRPr="00000000" w:rsidDel="00000000">
              <w:rPr>
                <w:sz w:val="24"/>
                <w:vertAlign w:val="superscript"/>
                <w:rtl w:val="0"/>
              </w:rPr>
              <w:t xml:space="preserve">1</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4.</w:t>
            </w:r>
            <w:r w:rsidR="00000000" w:rsidRPr="00000000" w:rsidDel="00000000">
              <w:rPr>
                <w:sz w:val="24"/>
                <w:vertAlign w:val="superscript"/>
                <w:rtl w:val="0"/>
              </w:rPr>
              <w:t xml:space="preserve">4</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Pilnīgu pārņemšanu nodrošina KIBL 11., 22.pants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19.panta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Pilnīgu pārņemšanu nodrošina KIBL 22.pants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56. un 56.</w:t>
            </w:r>
            <w:r w:rsidR="00000000" w:rsidRPr="00000000" w:rsidDel="00000000">
              <w:rPr>
                <w:sz w:val="24"/>
                <w:vertAlign w:val="superscript"/>
                <w:rtl w:val="0"/>
              </w:rPr>
              <w:t xml:space="preserve">1</w:t>
            </w:r>
            <w:r w:rsidR="00000000" w:rsidRPr="00000000" w:rsidDel="00000000">
              <w:rPr>
                <w:sz w:val="24"/>
                <w:rtl w:val="0"/>
              </w:rPr>
              <w:t xml:space="preserve">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57.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58.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90.</w:t>
            </w:r>
            <w:r w:rsidR="00000000" w:rsidRPr="00000000" w:rsidDel="00000000">
              <w:rPr>
                <w:sz w:val="24"/>
                <w:vertAlign w:val="superscript"/>
                <w:rtl w:val="0"/>
              </w:rPr>
              <w:t xml:space="preserve">1</w:t>
            </w:r>
            <w:r w:rsidR="00000000" w:rsidRPr="00000000" w:rsidDel="00000000">
              <w:rPr>
                <w:sz w:val="24"/>
                <w:rtl w:val="0"/>
              </w:rPr>
              <w:t xml:space="preserve">1.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91.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92.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96.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96.</w:t>
            </w:r>
            <w:r w:rsidR="00000000" w:rsidRPr="00000000" w:rsidDel="00000000">
              <w:rPr>
                <w:sz w:val="24"/>
                <w:vertAlign w:val="superscript"/>
                <w:rtl w:val="0"/>
              </w:rPr>
              <w:t xml:space="preserve">1</w:t>
            </w:r>
            <w:r w:rsidR="00000000" w:rsidRPr="00000000" w:rsidDel="00000000">
              <w:rPr>
                <w:sz w:val="24"/>
                <w:rtl w:val="0"/>
              </w:rPr>
              <w:t xml:space="preserve"> un 96.</w:t>
            </w:r>
            <w:r w:rsidR="00000000" w:rsidRPr="00000000" w:rsidDel="00000000">
              <w:rPr>
                <w:sz w:val="24"/>
                <w:vertAlign w:val="superscript"/>
                <w:rtl w:val="0"/>
              </w:rPr>
              <w:t xml:space="preserve">2</w:t>
            </w:r>
            <w:r w:rsidR="00000000" w:rsidRPr="00000000" w:rsidDel="00000000">
              <w:rPr>
                <w:sz w:val="24"/>
                <w:rtl w:val="0"/>
              </w:rPr>
              <w:t xml:space="preserve">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96.</w:t>
            </w:r>
            <w:r w:rsidR="00000000" w:rsidRPr="00000000" w:rsidDel="00000000">
              <w:rPr>
                <w:sz w:val="24"/>
                <w:vertAlign w:val="superscript"/>
                <w:rtl w:val="0"/>
              </w:rPr>
              <w:t xml:space="preserve">3</w:t>
            </w:r>
            <w:r w:rsidR="00000000" w:rsidRPr="00000000" w:rsidDel="00000000">
              <w:rPr>
                <w:sz w:val="24"/>
                <w:rtl w:val="0"/>
              </w:rPr>
              <w:t xml:space="preserve">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96.</w:t>
            </w:r>
            <w:r w:rsidR="00000000" w:rsidRPr="00000000" w:rsidDel="00000000">
              <w:rPr>
                <w:sz w:val="24"/>
                <w:vertAlign w:val="superscript"/>
                <w:rtl w:val="0"/>
              </w:rPr>
              <w:t xml:space="preserve">4</w:t>
            </w:r>
            <w:r w:rsidR="00000000" w:rsidRPr="00000000" w:rsidDel="00000000">
              <w:rPr>
                <w:sz w:val="24"/>
                <w:rtl w:val="0"/>
              </w:rPr>
              <w:t xml:space="preserve">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94.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95.</w:t>
            </w:r>
            <w:r w:rsidR="00000000" w:rsidRPr="00000000" w:rsidDel="00000000">
              <w:rPr>
                <w:sz w:val="24"/>
                <w:vertAlign w:val="superscript"/>
                <w:rtl w:val="0"/>
              </w:rPr>
              <w:t xml:space="preserve">1</w:t>
            </w:r>
            <w:r w:rsidR="00000000" w:rsidRPr="00000000" w:rsidDel="00000000">
              <w:rPr>
                <w:sz w:val="24"/>
                <w:rtl w:val="0"/>
              </w:rPr>
              <w:t xml:space="preserve"> un 95.</w:t>
            </w:r>
            <w:r w:rsidR="00000000" w:rsidRPr="00000000" w:rsidDel="00000000">
              <w:rPr>
                <w:sz w:val="24"/>
                <w:vertAlign w:val="superscript"/>
                <w:rtl w:val="0"/>
              </w:rPr>
              <w:t xml:space="preserve">2</w:t>
            </w:r>
            <w:r w:rsidR="00000000" w:rsidRPr="00000000" w:rsidDel="00000000">
              <w:rPr>
                <w:sz w:val="24"/>
                <w:rtl w:val="0"/>
              </w:rPr>
              <w:t xml:space="preserve">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95.</w:t>
            </w:r>
            <w:r w:rsidR="00000000" w:rsidRPr="00000000" w:rsidDel="00000000">
              <w:rPr>
                <w:sz w:val="24"/>
                <w:vertAlign w:val="superscript"/>
                <w:rtl w:val="0"/>
              </w:rPr>
              <w:t xml:space="preserve">3</w:t>
            </w:r>
            <w:r w:rsidR="00000000" w:rsidRPr="00000000" w:rsidDel="00000000">
              <w:rPr>
                <w:sz w:val="24"/>
                <w:rtl w:val="0"/>
              </w:rPr>
              <w:t xml:space="preserve">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95.</w:t>
            </w:r>
            <w:r w:rsidR="00000000" w:rsidRPr="00000000" w:rsidDel="00000000">
              <w:rPr>
                <w:sz w:val="24"/>
                <w:vertAlign w:val="superscript"/>
                <w:rtl w:val="0"/>
              </w:rPr>
              <w:t xml:space="preserve">4</w:t>
            </w:r>
            <w:r w:rsidR="00000000" w:rsidRPr="00000000" w:rsidDel="00000000">
              <w:rPr>
                <w:sz w:val="24"/>
                <w:rtl w:val="0"/>
              </w:rPr>
              <w:t xml:space="preserve">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12.</w:t>
            </w:r>
            <w:r w:rsidR="00000000" w:rsidRPr="00000000" w:rsidDel="00000000">
              <w:rPr>
                <w:sz w:val="24"/>
                <w:vertAlign w:val="superscript"/>
                <w:rtl w:val="0"/>
              </w:rPr>
              <w:t xml:space="preserve">1</w:t>
            </w:r>
            <w:r w:rsidR="00000000" w:rsidRPr="00000000" w:rsidDel="00000000">
              <w:rPr>
                <w:sz w:val="24"/>
                <w:rtl w:val="0"/>
              </w:rPr>
              <w:t xml:space="preserve">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12.</w:t>
            </w:r>
            <w:r w:rsidR="00000000" w:rsidRPr="00000000" w:rsidDel="00000000">
              <w:rPr>
                <w:sz w:val="24"/>
                <w:vertAlign w:val="superscript"/>
                <w:rtl w:val="0"/>
              </w:rPr>
              <w:t xml:space="preserve">1</w:t>
            </w:r>
            <w:r w:rsidR="00000000" w:rsidRPr="00000000" w:rsidDel="00000000">
              <w:rPr>
                <w:sz w:val="24"/>
                <w:rtl w:val="0"/>
              </w:rPr>
              <w:t xml:space="preserve"> panta desmitā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12.</w:t>
            </w:r>
            <w:r w:rsidR="00000000" w:rsidRPr="00000000" w:rsidDel="00000000">
              <w:rPr>
                <w:sz w:val="24"/>
                <w:vertAlign w:val="superscript"/>
                <w:rtl w:val="0"/>
              </w:rPr>
              <w:t xml:space="preserve">1</w:t>
            </w:r>
            <w:r w:rsidR="00000000" w:rsidRPr="00000000" w:rsidDel="00000000">
              <w:rPr>
                <w:sz w:val="24"/>
                <w:rtl w:val="0"/>
              </w:rPr>
              <w:t xml:space="preserve"> panta vienpadsmitā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12.</w:t>
            </w:r>
            <w:r w:rsidR="00000000" w:rsidRPr="00000000" w:rsidDel="00000000">
              <w:rPr>
                <w:sz w:val="24"/>
                <w:vertAlign w:val="superscript"/>
                <w:rtl w:val="0"/>
              </w:rPr>
              <w:t xml:space="preserve">1</w:t>
            </w:r>
            <w:r w:rsidR="00000000" w:rsidRPr="00000000" w:rsidDel="00000000">
              <w:rPr>
                <w:sz w:val="24"/>
                <w:rtl w:val="0"/>
              </w:rPr>
              <w:t xml:space="preserve"> panta otrā, trešā un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12.</w:t>
            </w:r>
            <w:r w:rsidR="00000000" w:rsidRPr="00000000" w:rsidDel="00000000">
              <w:rPr>
                <w:sz w:val="24"/>
                <w:vertAlign w:val="superscript"/>
                <w:rtl w:val="0"/>
              </w:rPr>
              <w:t xml:space="preserve">1</w:t>
            </w:r>
            <w:r w:rsidR="00000000" w:rsidRPr="00000000" w:rsidDel="00000000">
              <w:rPr>
                <w:sz w:val="24"/>
                <w:rtl w:val="0"/>
              </w:rPr>
              <w:t xml:space="preserve"> panta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12.</w:t>
            </w:r>
            <w:r w:rsidR="00000000" w:rsidRPr="00000000" w:rsidDel="00000000">
              <w:rPr>
                <w:sz w:val="24"/>
                <w:vertAlign w:val="superscript"/>
                <w:rtl w:val="0"/>
              </w:rPr>
              <w:t xml:space="preserve">1 </w:t>
            </w:r>
            <w:r w:rsidR="00000000" w:rsidRPr="00000000" w:rsidDel="00000000">
              <w:rPr>
                <w:sz w:val="24"/>
                <w:rtl w:val="0"/>
              </w:rPr>
              <w:t xml:space="preserve">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31.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31.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Nr.691 108.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Nr.691 109.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Nr.691 102.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Nr.691 103.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Nr.691 103.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Nr.691 104.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5.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6. un 7.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8.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9.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10.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2.</w:t>
            </w:r>
            <w:r w:rsidR="00000000" w:rsidRPr="00000000" w:rsidDel="00000000">
              <w:rPr>
                <w:sz w:val="24"/>
                <w:vertAlign w:val="superscript"/>
                <w:rtl w:val="0"/>
              </w:rPr>
              <w:t xml:space="preserve">2</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2.</w:t>
            </w:r>
            <w:r w:rsidR="00000000" w:rsidRPr="00000000" w:rsidDel="00000000">
              <w:rPr>
                <w:sz w:val="24"/>
                <w:vertAlign w:val="superscript"/>
                <w:rtl w:val="0"/>
              </w:rPr>
              <w:t xml:space="preserve">3 </w:t>
            </w:r>
            <w:r w:rsidR="00000000" w:rsidRPr="00000000" w:rsidDel="00000000">
              <w:rPr>
                <w:sz w:val="24"/>
                <w:rtl w:val="0"/>
              </w:rPr>
              <w:t xml:space="preserve">un 2.</w:t>
            </w:r>
            <w:r w:rsidR="00000000" w:rsidRPr="00000000" w:rsidDel="00000000">
              <w:rPr>
                <w:sz w:val="24"/>
                <w:vertAlign w:val="superscript"/>
                <w:rtl w:val="0"/>
              </w:rPr>
              <w:t xml:space="preserve">6</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15. un 17.daļa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18.daļa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19.daļa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20.daļa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21.daļa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22.daļa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23.daļa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25.panta 6.</w:t>
            </w:r>
            <w:r w:rsidR="00000000" w:rsidRPr="00000000" w:rsidDel="00000000">
              <w:rPr>
                <w:sz w:val="24"/>
                <w:vertAlign w:val="superscript"/>
                <w:rtl w:val="0"/>
              </w:rPr>
              <w:t xml:space="preserve">1</w:t>
            </w:r>
            <w:r w:rsidR="00000000" w:rsidRPr="00000000" w:rsidDel="00000000">
              <w:rPr>
                <w:sz w:val="24"/>
                <w:rtl w:val="0"/>
              </w:rPr>
              <w:t xml:space="preserve"> un 7.daļa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16.daļa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24. un 25.daļa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26.daļa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27.daļa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27.daļa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1.</w:t>
            </w:r>
            <w:r w:rsidR="00000000" w:rsidRPr="00000000" w:rsidDel="00000000">
              <w:rPr>
                <w:sz w:val="24"/>
                <w:vertAlign w:val="superscript"/>
                <w:rtl w:val="0"/>
              </w:rPr>
              <w:t xml:space="preserve">1</w:t>
            </w:r>
            <w:r w:rsidR="00000000" w:rsidRPr="00000000" w:rsidDel="00000000">
              <w:rPr>
                <w:sz w:val="24"/>
                <w:rtl w:val="0"/>
              </w:rPr>
              <w:t xml:space="preserve">, 1.</w:t>
            </w:r>
            <w:r w:rsidR="00000000" w:rsidRPr="00000000" w:rsidDel="00000000">
              <w:rPr>
                <w:sz w:val="24"/>
                <w:vertAlign w:val="superscript"/>
                <w:rtl w:val="0"/>
              </w:rPr>
              <w:t xml:space="preserve">2 </w:t>
            </w:r>
            <w:r w:rsidR="00000000" w:rsidRPr="00000000" w:rsidDel="00000000">
              <w:rPr>
                <w:sz w:val="24"/>
                <w:rtl w:val="0"/>
              </w:rPr>
              <w:t xml:space="preserve">un 1.</w:t>
            </w:r>
            <w:r w:rsidR="00000000" w:rsidRPr="00000000" w:rsidDel="00000000">
              <w:rPr>
                <w:sz w:val="24"/>
                <w:vertAlign w:val="superscript"/>
                <w:rtl w:val="0"/>
              </w:rPr>
              <w:t xml:space="preserve">3</w:t>
            </w:r>
            <w:r w:rsidR="00000000" w:rsidRPr="00000000" w:rsidDel="00000000">
              <w:rPr>
                <w:sz w:val="24"/>
                <w:rtl w:val="0"/>
              </w:rPr>
              <w:t xml:space="preserve"> daļa, 8.</w:t>
            </w:r>
            <w:r w:rsidR="00000000" w:rsidRPr="00000000" w:rsidDel="00000000">
              <w:rPr>
                <w:sz w:val="24"/>
                <w:vertAlign w:val="superscript"/>
                <w:rtl w:val="0"/>
              </w:rPr>
              <w:t xml:space="preserve">2</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1.</w:t>
            </w:r>
            <w:r w:rsidR="00000000" w:rsidRPr="00000000" w:rsidDel="00000000">
              <w:rPr>
                <w:sz w:val="24"/>
                <w:vertAlign w:val="superscript"/>
                <w:rtl w:val="0"/>
              </w:rPr>
              <w:t xml:space="preserve">1 </w:t>
            </w:r>
            <w:r w:rsidR="00000000" w:rsidRPr="00000000" w:rsidDel="00000000">
              <w:rPr>
                <w:sz w:val="24"/>
                <w:rtl w:val="0"/>
              </w:rPr>
              <w:t xml:space="preserve">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Noteikumu Nr.691 111., 112. un 113.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Pilnīgu pārņemšanu nodrošina Civillikuma 1808.pants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27.daļa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Pilnīgu pārņemšanu nodrošina Patērētāju ārpustiesas strīdu risinātāju likuma 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Pilnīgu pārņemšanu nodrošina Patērētāju ārpustiesas strīdu risinātāju likuma 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24.pants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2023. gada 22. novembra Direktīva (ES) 2023/2673 ar ko groza Direktīvu 2011/83/ES attiecībā uz attālināti noslēgtiem finanšu pakalpojumu līgumiem un atceļ Direktīvu 2002/65/EK (turpmāk - Direktīva 2023/2673)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2023/2673 2.pantā paredzēts, ka Dalībvalstis līdz 2025. gada 19. decembrim pieņem un publicē normatīvos un administratīvos aktus, kas vajadzīgi, lai izpildītu šīs direktīvas prasības. Dalībvalstis nekavējoties dara Komisijai zināmu minēto noteikumu tekstu.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Likumprojekts paredz tikai deleģējumu Ministru kabinetam izdot noteikumus, ar kuriem tiks pārņemtas Direktīvas 2023/2673 prasības, Eiropas Komisija tiks informēta par prasību pārņemšanas pēc attiecīgo Ministru kabineta noteikumu stāšanās spēkā.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Patērētāju tiesību aizsardzības centrs nodrošinās parādu konsultāciju pakalpojumus personām, kuras ir saskārušās ar finansiālām grūtībām vai varētu ar tādām saskarties.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izpildes nodrošināšanai pieaugs slogs PTAC. Administratīvo izmaksu monetārs novērtējums ir norādīts anotācijas 3.sadaļā.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24-TA-3045</w:t>
    </w:r>
    <w:r>
      <w:br/>
    </w:r>
    <w:r w:rsidR="00000000" w:rsidRPr="00000000" w:rsidDel="00000000">
      <w:rPr>
        <w:rtl w:val="0"/>
      </w:rPr>
      <w:t xml:space="preserve">Izdrukāts 29.07.2026. 23.57 - 1.0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24-TA-3045</w:t>
    </w:r>
    <w:r>
      <w:br/>
    </w:r>
    <w:r w:rsidR="00000000" w:rsidRPr="00000000" w:rsidDel="00000000">
      <w:rPr>
        <w:rtl w:val="0"/>
      </w:rPr>
      <w:t xml:space="preserve">Izdrukāts 29.07.2026. 23.57 - 1.0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anotācija_(ex_ante)_24-TA-3045.docx</dc:title>
</cp:coreProperties>
</file>

<file path=docProps/custom.xml><?xml version="1.0" encoding="utf-8"?>
<Properties xmlns="http://schemas.openxmlformats.org/officeDocument/2006/custom-properties" xmlns:vt="http://schemas.openxmlformats.org/officeDocument/2006/docPropsVTypes"/>
</file>