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7. janvāra noteikumos Nr. 23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izstrādāts pamatojoties uz Eiropas Savienības fondu 2021.—2027. gada plānošanas perioda vadības likuma 19. panta 13. punktu, lai nodrošinātu sekmīgu un savlaicīgu Eiropas Savienības fondu līdzekļu apguvi un Eiropas Savienības kohēzijas politikas programmas 2021.–2027. gadam kopējā mērķa un iznākumu rādītāju sasniegšanu Eiropas Savienības fondu 2021. - 2027. gada plānošanas perioda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efektīvu un kvalitatīvu 4.1.1.3. pasākuma "Primārās veselības aprūpes lomas stiprināšana, attīstot infrastruktūru" otrās kārtas  īstenošanu, kā arī administratīvā sloga mazināšanu.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Latvijas izstrādāto Eiropas Savienības kohēzijas politikas programmu 2021.-2027. gadam (turpmāk – Programma), nosakot, ka 4.1.1. specifiskā atbalsta mērķa "Nodrošināt vienlīdzīgu piekļuvi veselības aprūpei un stiprināt veselības sistēmu, tostarp primārās veselības aprūpes noturību" ietvaros veselības aprūpei būtiska nozīme ir veselības sistēmas stiprināšanā, veselības aprūpes pieejamības un kvalitātes uzlabošanā, attīstot visaptverošu un integrētu veselības sistēmu un paredzot ieguldījumus ārstniecības iestāžu attīstībai visos aprūpes līmeņos, atbilstoši pakalpojumu kartējumam, veselības aprūpes pakalpojumu attīstībai pieejamiem cilvēkresursiem un finanšu resursiem, t.sk. nodrošinot ārstniecības iestāžu gatavību potenciālo sabiedrības veselības krīžu ierobežošanai.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Ministru kabineta 2025. gada 7. janvāra noteikumos Nr. 23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 (turpmāk - MK noteikumi Nr. 23) noteikta kārtība, kādā tiek īstenota Programmas 4.1.1. specifiskā atbalsta mērķa "Nodrošināt vienlīdzīgu piekļuvi veselības aprūpei un stiprināt veselības sistēmu, tostarp primārās veselības aprūpes noturību" (turpmāk – 4.1.1. SAM) 4.1.1.3. pasākuma " Primārās veselības aprūpes lomas stiprināšana, attīstot infrastruktūru " (turpmāk – 4.1.1.3. pasākums) otrā kārta (turpmāk – pasākums).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ietvaros plānotais un pieejamais kopējais finansējums ir  5 800 000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ir 4 930 000 </w:t>
      </w:r>
      <w:r w:rsidR="00000000" w:rsidRPr="00000000" w:rsidDel="00000000">
        <w:rPr>
          <w:i w:val="1"/>
          <w:rtl w:val="0"/>
        </w:rPr>
        <w:t xml:space="preserve">euro</w:t>
      </w:r>
      <w:r w:rsidR="00000000" w:rsidRPr="00000000" w:rsidDel="00000000">
        <w:rPr>
          <w:rtl w:val="0"/>
        </w:rPr>
        <w:t xml:space="preserve"> un nacionālais līdzfinansējums, kas iekļauj valsts budžeta un privāto līdzfinansējumu ir 870 000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22. punktā noteikts, ja personāla iesaisti projektā nodrošina saskaņā ar daļlaika attiecināmības principu (attiecināms, ja izmaksas radušās uz darba līguma pamata), attiecināma ir ne mazāka kā 30 procentu noslodze. 4.1.1.1. pasākuma otrās kārtas projektu īstenošanā atsevišķs piesaistītais personāls to realizēšanā iesaistās fragmentāri ar nelielu noslodzi, līdz ar to atsevišķa projekta vadībā iesaistītā personāla noslodze vismaz 30 procentu apmērā ir apgrūtinoša.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53. punktā noteikts, ka finansējuma saņēmējs infrastruktūras izmantošanas proporcijas aprēķinu iesniedz Centrālajā finanšu un līgumu aģentūrā kā sadarbības iestādē (turpmāk – sadarbības iestāde) ne tikai iesniedzot projekta iesniegumu, bet arī iesniedzot noslēguma maksājuma pieprasījumu. Minētais nosacījumus veido papildus administratīvo slogu gan finansējuma saņēmējam, gan sadarbības iestādei. Savukārt Valdības rīcības plāna[1] deklarācijas uzdevumā "Mazināsim birokrātiju un valsts pārvaldi padarīsim elastīgāku, vairāk uzticēsimies uzņēmēju, iedzīvotāju un pašvaldību spējai vadīties pēc pašdeklarācijas principa un dosim iespēju veidot standartizāciju nozarēs" ir iekļauts pasākums Nr. 35.4. "Lai mazinātu administratīvu birokrātiju un pilnveidotu risku pārvaldību ESIF projektu ieviešanā, izvērtēta efektīva un vienlaikus no drošas finanšu vadības viedokļa līdzsvarota pašdeklarācijas principa ieviešana ESIF projektu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izvērtējot Veselības ministrijas pārraudzībā esošos Eiropas Savienības struktūrfondu 2021.–2027. gada plānošanas perioda specifiskos atbalsta mērķus, lai izpildītu Valdības rīcības plānā norādīto uzdevumu, ar 2025. gada 22. maija vēstuli Nr. 39-2-8/2597 "Par pašdeklarācijas principa iniciatīvu" ir ierosinājusi cita starpā ieviest pašdeklarācijas principu pasākuma 4.1.1.1. otrās kārtas īstenoto projektu uzraudzībā, tas ir finansējuma saņēmējs aprēķina un uzkrāj infrastruktūras izmantošanas proporcijas datus un nodrošina datu un pamatojošo dokumentu pieejamību uzraudzībai. Minētās izmaiņas ne tikai samazinātu birokrātisko slogu un projektu ikgadēju uzraudzību, bet arī demonstrētu uzticēšanās pieaugumu finansējuma saņēmēju saimniecisko darbību aktivitātēm. Ieviešot padeklarēšanas principu, tas nerada ietekmi uz projekta izmaksu attiecināmību. Vienlaikus tas nenoņem atbildību finansējuma saņēmējam – atbilstoši normatīvajam regulējumam tā ir tieša finansējuma saņēmēja atbildība uzkrāt, uzturēt un pēc pieprasījuma nodrošināt sadarbības iestādei piekļuvi visiem attiecīgajiem datiem un pamatojošajiem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https://likumi.lv/ta/id/349266-par-valdibas-ricibas-planu-deklaracijas-par-evikas-silinas-vadita-ministru-kabineta-iecereto-darbibu-istenosanai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grozījumi paredz dzēst nosacījumu, ka, ja personāla iesaisti projektā nodrošina saskaņā ar daļlaika attiecināmības principu (attiecināms, ja izmaksas radušās uz darba līguma pamata), attiecināma ir ne mazāka kā 30 procentu noslodze. Minētās izmaiņas veiktas saskaņā ar Vadlīnijas attiecināmo izmaksu noteikšanai Eiropas Savienības kohēzijas politikas programmas 2021. – 2027. gada plānošanas periodā aktuālo redakciju. Tāpat, izvērtējot visas izmaksu pozīcijas un nosacījumus šajos MK noteikumos, kurus ietekmē izmaiņas minētajās vadlīnijās, ir secināts, ka citas izmaiņas vadlīnijās MK noteikumos Nr. 23 iekļautajiem nosacījumiem nav saistošas. Papildus ir izvērtēta MK noteikumu grozījumu ietekme uz jau esošajiem projektiem, nosakot, ka minētās izmaiņas personāla iesaistē stājas spēkā ar MK noteikumu grozījumu spēkā stāšanās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birokrātisko slogu pasākuma 4.1.1.3. projektu infrastruktūras amortizācijas uzraudzības periodā, ar noteikumu projektu tiek ieviests pašdeklarācijas princips. Noteikumu projektā iekļautais pašdeklarācijas princips paredz, ka finansējuma saņēmējs aprēķina infrastruktūras izmantošanas proporcijas aprēķinu un iesniedz to sadarbības iestādē iesniedzot projekta iesniegumu. Savukārt projekta īstenošanas laikā un pēcuzraudzības periodā uzkrāj infrastruktūras izmantošanas proporcijas datus un nodrošina datu un pamatojošo dokumentu pieejamību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sadarbības iestāde informēs 4.1.1.3. pasākuma otrās kārtas projektu finansējuma saņēmējus par izmaiņām infrastruktūras izmantošanas proporcijas aprēķina iesniegšanas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2025. gada 16. decembrī Eiropas Komisijas Konkurences ģenerāldirektorāts ir pieņēmis Komisijas Lēmumu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jaunais VTNP lēmums), kas aizstās Komisijas Lēmumu 2012/21/ES (2011.gada 20.decembris) par Līguma par Eiropas Savienības darbību 106.panta 2.punkta piemērošanu valsts atbalstam attiecībā uz kompensāciju par sabiedriskajiem pakalpojumiem dažiem uzņēmumiem, kuriem uzticēts sniegt pakalpojumus ar vispārēju tautsaimniecisku nozīmi (turpmāk – vecais VTNP lēmums). Jaunais VTNP lēmums ir stājies spēkā ar 2026. gada 8. janvāri. Vienlaikus jaunajā VTNP lēmumā ir noteikts, ka visas atbalsta programmas, kas stājās spēkā pirms tā spēkā stāšanās un kas bija saderīgas ar iekšējo tirgu un atbrīvotas no paziņošanas prasības saskaņā ar veco VTNP lēmumu, arī turpmāk ir saderīgas ar iekšējo tirgu un atbrīvotas no paziņošanas prasības vēl divu gadu laikposmā pēc šā lēmuma stāšanās spēkā. Ņemot vērā minēto, komercdarbības atbalstu pasākuma ietvaros saskaņā ar veco VTNP lēmumu var saņemt arī subjekti, kam noslēgts pilnvarojuma akts ar jauno VTNP lēmumu, ievērojot noteikumos ietvertos atbalsta nosacījumus un nosacījumus, kas izriet no vecā VTNP lēmuma, un atsauces neesamība pilnvarojuma aktā uz veco VTNP lēmumu nav šķērslis, lai piešķirtu atbalstu saskaņā ar veco VTNP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precizēti komercdarbības atbalsta nosacījumi, paredzot, ka sākotnēji piešķirtā komercdarbības atbalsta izmaiņu gadījumā to korekcijas stājas spējā ar līguma vai vienošanās par projekta īstenošanu grozījumu parakstīšanas brīža. Attiecīgi MK noteikumos papildināta 36.8 apakšpunkta par de minimis piešķiršanu un 41. punkta par vispārējas tautsaimnieciskas nozīmes pakalpojumu sniegšanu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noteikumu 56. punkta "</w:t>
      </w:r>
      <w:r w:rsidR="00000000" w:rsidRPr="00000000" w:rsidDel="00000000">
        <w:rPr>
          <w:i w:val="1"/>
          <w:rtl w:val="0"/>
        </w:rPr>
        <w:t xml:space="preserve">Īstenojot projektu, finansējuma saņēmējs un sadarbības partneris (ja attiecināms):" </w:t>
      </w:r>
      <w:r w:rsidR="00000000" w:rsidRPr="00000000" w:rsidDel="00000000">
        <w:rPr>
          <w:rtl w:val="0"/>
        </w:rPr>
        <w:t xml:space="preserve">56.2. apakšpunkts "</w:t>
      </w:r>
      <w:r w:rsidR="00000000" w:rsidRPr="00000000" w:rsidDel="00000000">
        <w:rPr>
          <w:i w:val="1"/>
          <w:rtl w:val="0"/>
        </w:rPr>
        <w:t xml:space="preserve">ja attiecināms, nodrošina horizontālā principa "Vienlīdzība, iekļaušana, nediskriminācija un pamattiesību ievērošana" īstenošanu un uzkrāj datus par šādiem rādītājiem:" </w:t>
      </w:r>
      <w:r w:rsidR="00000000" w:rsidRPr="00000000" w:rsidDel="00000000">
        <w:rPr>
          <w:rtl w:val="0"/>
        </w:rPr>
        <w:t xml:space="preserve">papildināts jau jaunu apakšpunktu 56.2.3. apakšpunktu: “konsultatīva rakstura pasākumu skaits par būvētās vides, IT risinājumu, IT tehnoloģiju piekļūstamību personām ar dažādiem funkcionāliem traucējumiem”. Minētais papildinājums veikts pamatojoties uz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projektu iesniegumu vērtēšanas kritērijiem un to piemērošanas metodikā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samazinājums attiecas uz ārstniecības iestādēm. Saskaņā ar MK noteikuma grozījumiem, kas paredz dzēst 37. punktu, turpmāk ārstniecības iestādēm nebūs jāpieprasa no Nacionālā veselības dienesta vispārējas tautsaimnieciskas nozīmes pakalpojuma sniegšanas pilnvarojuma uzlicēja apliecinājumu, ka tas kontrolēs un pārskatīs vispārējas tautsaimnieciskas nozīmes pakalpojuma sniegšanas deleģēšanas līgumā paredzētos atlīdzības (kompensācijas) maksājumus, kā arī novērsīs un atgūs deleģēšanas līgumā paredzēto atlīdzības (kompensācijas) maksājumu pārmaksu regulāri, bet ne retāk kā reizi trijos gados un pilnvarojuma akta darbības perioda beigās veicot līgumā noteiktās pārbaudes. Papildus turpmāk saskaņā ar MK noteikumu grozījumu 53. punktu ārstniecības iestādēm sniedzot Centrālajai finanšu un līgumu aģentūrai kā sadarbības iestādei noslēguma maksājuma pieprasījumam vairs nebūs jāpievieno infrastruktūras izmantošanas proporcijas aprēķins. Vienlaikus MK noteikumu grozījumi paredz, ka ārstniecības iestādes uzkrāj datus un aktualizē infrastruktūras izmantošanas proporcijas aprēķinu, to iesniedzot pēc Centrālās finanšu un līgumu aģentūras pieprasījuma.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biežums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 sloga samazinājums attiecas uz ārstniecības iestādēm.
1) Saskaņā ar MK noteikumu grozījumiem, kas paredz precizēt 22.punkta redakciju, tiek dzēsts nosacījums par minimālo 30% personāla noslodzi.
2) Saskaņā ar MK noteikumu grozījumiem, kas paredz dzēst 37.punktu, turpmāk ārstniecības iestādēm nebūs jāpieprasa no Nacionālā veselības dienesta (turpmāk - NVD) vispārējas tautsaimnieciskas nozīmes pakalpojuma (turpmāk - VTNP) sniegšanas pilnvarojuma uzlicēja apliecinājumu, ka tas kontrolēs un pārskatīs VTNP sniegšanas deleģēšanas līgumā paredzētos atlīdzības (kompensācijas) maksājumus, kā arī novērsīs un atgūs deleģēšanas līgumā paredzēto atlīdzības (kompensācijas) maksājumu pārmaksu regulāri, bet ne retāk kā reizi trijos gados un pilnvarojuma akta darbības perioda beigās veicot līgumā noteiktās pārbaudes (turpmāk - apliecinājums).
3) Saskaņā ar MK noteikumu grozījumu 53. punktu ārstniecības iestādēm sniedzot Centrālajai finanšu un līgumu aģentūrai kā sadarbības iestādei (turpmāk - CFLA) noslēguma maksājuma pieprasījumu vairs nebūs jāpievieno infrastruktūras izmantošanas proporcijas aprēķins. Vienlaikus MK noteikumu grozījumi paredz, ka ārstniecības iestādes uzkrāj datus un aktualizē infrastruktūras izmantošanas proporcijas aprēķinu, to iesniedzot pēc CFLA pieprasījuma. Šī nosacījuma izpildei administratīvā sloga samazinājuma nav.
Aprēķinam tiek izmantots pieņēmums, ka finansējuma saņēmējs datu ievadei un iesniegšanai sadarbības iestādē izmanto Kohēzijas politikas vadības informācijas sistēmu (1), projekta iesniegumu grozījumus ievada 2 darbinieki (8 stundas katrs), un paredzēts, ka grozījumus iesniegs vienu reizi. Subjektu skaits atlasīts, vērtējot kuros 4.1.1.3. pasākuma otrās kārtas projektu iesniegumos pie vadības personāla informācijas noslodze norādīta 30 %.  
Aprēķinam izmantots pieņēmums, ka ārstniecības iestāde sagatavo un iesniedz NVD vēstuli ar lūgumu sniegt VTNP sniegšanas pilnvarojuma uzlicēja apliecinājumu (2). Vēstules sagatavošanu un izskatīšanu veic 2 darbinieki. 
Aprēķinam tiek izmantots pieņēmums, ka projekta grozījumu un vēstules sagatavošanu un izskatīšanu veic darbinieki ar vidējo mēneša darba samaksu sabiedriskajā sektorā, kas 2024. gadā Latvijā bija 1 604 euro mēnesī (https://data.stat.gov.lv/pxweb/lv/OSP_PUB/START__EMP__DS__DSV/DSV070/), kam atbilst stundas samaksas likme 11,35 euro.  Subjektu skaita noteikšanai atlasīts kopējais projektu iesniegumu skaits.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neparedz atbalsta apjoma izmaiņas, tādēļ tam nav ietekmes uz valsts budžetu un pašvaldību budžetiem.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nodrošina ātrāku un kvalitatīvāku 4.1.1. SAM mērķu sasniegšanu un pakalpojumu pieejamību sabiedrības interesēs un tam nav ietekmes uz sabiedrības interesēm un pienākumiem, līdz ar to nav nepieciešams organizēt sabiedrības informēšanas pasākumus saistībā ar šī projekta izstrādi.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Nacionālais veselības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ārstniecības iestādēm nebūs jāpieprasa no Nacionālā veselības dienesta vispārējas tautsaimnieciskas nozīmes pakalpojuma (turpmāk - VTNP) sniegšanas pilnvarojuma uzlicēja apliecinājumu, ka tas kontrolēs un pārskatīs VTNP sniegšanas deleģēšanas līgumā paredzētos atlīdzības (kompensācijas) maksājumus, kā arī novērsīs un atgūs deleģēšanas līgumā paredzēto atlīdzības (kompensācijas) maksājumu pārmaksu regulāri, bet ne retāk kā reizi trijos gados un pilnvarojuma akta darbības perioda beigās veicot līgumā noteiktās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Centrālajai finanšu un līgumu aģentūrai izskatot ārstniecības iestāžu projektu noslēguma pārskatu nebūs jāizskata infrastruktūras izmantošanas proporcijas aprēķinu.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 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investīcijas veselības aprūpes jomā veicina veselības pakalpojumu pieejamību un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aizsardzība tiks nodrošināta atbilstoši LR normatīvajiem aktiem un MK grozījumi nemaina esošo jomas likumdošanu.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25-TA-2882</w:t>
    </w:r>
    <w:r>
      <w:br/>
    </w:r>
    <w:r w:rsidR="00000000" w:rsidRPr="00000000" w:rsidDel="00000000">
      <w:rPr>
        <w:rtl w:val="0"/>
      </w:rPr>
      <w:t xml:space="preserve">Izdrukāts 29.07.2026. 22.54 - 3.0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25-TA-2882</w:t>
    </w:r>
    <w:r>
      <w:br/>
    </w:r>
    <w:r w:rsidR="00000000" w:rsidRPr="00000000" w:rsidDel="00000000">
      <w:rPr>
        <w:rtl w:val="0"/>
      </w:rPr>
      <w:t xml:space="preserve">Izdrukāts 29.07.2026. 22.54 - 3.0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anotācija_(ex_ante)_25-TA-2882.docx</dc:title>
</cp:coreProperties>
</file>

<file path=docProps/custom.xml><?xml version="1.0" encoding="utf-8"?>
<Properties xmlns="http://schemas.openxmlformats.org/officeDocument/2006/custom-properties" xmlns:vt="http://schemas.openxmlformats.org/officeDocument/2006/docPropsVTypes"/>
</file>