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Kredītiestāžu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Kredītiestāžu likumā” (turpmāk - Likumprojekts) izstrādāts, lai pārņemtu Eiropas Parlamenta un Padomes 2022. gada 14. decembra direktīvu (ES) 2022/2556, ar ko groza Direktīvas 2009/65/EK, 2009/138/EK, 2011/61/ES, 2013/36/ES, 2014/59/ES, 2014/65/ES, (ES) 2015/2366 un (ES) 2016/2341 attiecībā uz finanšu nozares digitālās darbības noturību (turpmāk – Direktīva Nr. 2022/2556).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kredītiestādēm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noteikta, jo saskaņā ar Direktīvas Nr. 2022/2556 9. pantu, minētās direktīvas prasības piemēro no 2025. gada 17.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2022/2556 4. panta pārņemšana ir sistēmiski saistīta ar Regulas Nr. 2022/2554 tiešas piemērošanas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paredz digitālās darbības noturības prasību piemērošanu finanšu tirgus dalībniekiem un Direktīva Nr. 2022/2556 ir minētās regulas pakārtotais normatīvais akts. Regulas Nr. 2022/2554 prasību ieviešanu nodrošina likumprojekts “Finanšu tirgus digitālās darbības noturības un mākslīgā intelekta izmantošanas likums” (24-TA-2371), savukārt, lai pārņemtu Direktīvas Nr. 2022/2556 4. pantu, ir jāveic precizējumi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papildina Kredītiestāžu likuma 34.</w:t>
      </w:r>
      <w:r w:rsidR="00000000" w:rsidRPr="00000000" w:rsidDel="00000000">
        <w:rPr>
          <w:vertAlign w:val="superscript"/>
          <w:rtl w:val="0"/>
        </w:rPr>
        <w:t xml:space="preserve">1</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paredzot, ka kredītiestāde izveido un pārvalda tīklu un informācijas sistēmu atbilstoši Regulas Nr. 2022/2554 un Finanšu tirgus digitālās darbības noturības likuma prasībām. Ar minēto grozījumu tiek pārņemts Direktīvas Nr. 2022/2556 4.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2022/2556 4. panta 3. punkts būtu jāpārņem Latvijas Bankas noteikumos atbilstoši Kredītiestāžu likuma 34.</w:t>
      </w:r>
      <w:r w:rsidR="00000000" w:rsidRPr="00000000" w:rsidDel="00000000">
        <w:rPr>
          <w:vertAlign w:val="superscript"/>
          <w:rtl w:val="0"/>
        </w:rPr>
        <w:t xml:space="preserve">2</w:t>
      </w:r>
      <w:r w:rsidR="00000000" w:rsidRPr="00000000" w:rsidDel="00000000">
        <w:rPr>
          <w:rtl w:val="0"/>
        </w:rPr>
        <w:t xml:space="preserve"> panta ceturtās daļas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papildina Kredītiestāžu likuma 101.</w:t>
      </w:r>
      <w:r w:rsidR="00000000" w:rsidRPr="00000000" w:rsidDel="00000000">
        <w:rPr>
          <w:vertAlign w:val="superscript"/>
          <w:rtl w:val="0"/>
        </w:rPr>
        <w:t xml:space="preserve">3</w:t>
      </w:r>
      <w:r w:rsidR="00000000" w:rsidRPr="00000000" w:rsidDel="00000000">
        <w:rPr>
          <w:rtl w:val="0"/>
        </w:rPr>
        <w:t xml:space="preserve"> panta pirmo daļu ar 4. punktu, proti, Latvijas Banka turpmāk novērtēs arī riskus, kas konstatēti digitālās darbības noturības testēšanā saskaņā ar Regulas Nr. 2022/2554 IV nodaļu. Ar minēto grozījumu tiek pārņemts Direktīvas Nr. 2022/2556 4. panta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2022/2556.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aizstāj esošās informācijas tehnoloģiju prasības kredītiestādēm, proti, minētā regula harmonizē un konsolidē prasības attiecībā uz digitālās darbības noturību finanšu tirgus dalībniekiem, lai nodrošinātu konsekventu pieeju minēto prasību piemērošanā visā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nosaka jaunas pārvaldības prasības trešajām personām, kas sniedz informācijas un komunikācijas tehnoloģiju (IKT) pakalpojumus (V nodaļa "Ar trešo personu saistīta IKT riska pārvaldība"). Minētās regulas 3. panta 19. punkts definē, ka "trešā persona, kas sniedz IKT pakalpojumus" ir uzņēmums, kas sniedz IKT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likums (1. panta pirmās daļas 48. un 68. punkts) ārpakalpojumu sniedzēju un ārpakalpojumu definē atšķirīgi. Turklāt Latvijas normatīvo aktu sistēmā kopumā nav vienveidības ārpakalpojumu nošķiršanai, kas pats par sevi nav trūkums, jo ārpakalpojumu joma ir plaša.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Regulas Nr. 2022/2554 stāšanās spēkā IKT pakalpojumu sniedzēju, kas atbilstoši Kredītiestāžu likumam ir arī ārpakalpojumu sniedzēji, risku pārvaldība un ziņošana jāveic atbilstoši Regulas Nr. 2022/2554 prasībām un Komisijas 2024. gada 22. februāra deleģētajai regulai (ES) 2024/1502, ar ko [..] regulu [..] papildina, precizējot kritērijus, saskaņā ar kuriem trešās personas, kas sniedz IKT pakalpojumus, izraugās par finanšu vienībām kritiski svarīgām, un Komisijas 2024. gada 13. marta deleģētajai regulai (ES) 2024/1773, ar ko [..] regulu [..] papildina attiecībā uz regulatīvajiem tehniskajiem standartiem, sīkāk precizējot politikas detalizēto saturu saistībā ar līgumisku vienošanos par tādu IKT pakalpojumu izmantošanu, ar kuriem atbalsta kritiski svarīgas vai svarīgas funkcijas, ko nodrošina trešās personas, kas sniedz IKT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Regulas Nr. 2022/2554 ieviešanu Eiropas Centrālā banka līdz 2025. gada 17. janvārim atcels ziņošanas pienākumu nozīmīgajām kredītiestādēm par ārpakalpojumu reģistriem un esošo incidentu ziņošanas kārtību. Turpmāk ziņošana notiks atbilstoši Regulas Nr. 2022/2554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saistīts ar likumprojektu “Finanšu tirgus digitālās darbības noturības un mākslīgā intelekta izmantošanas likums” (24-TA-2371), likumprojektu "Grozījumi Ieguldījumu pārvaldes sabiedrību likumā" (24-TA-2433), likumprojektu "Grozījumi Apdrošināšanas un pārapdrošināšanas likumā" (24-TA-2434), likumprojektu "Grozījumi Alternatīvo ieguldījumu fondu un to pārvaldnieku likumā" (24-TA-2435), likumprojektu "Grozījumi Kredītiestāžu un ieguldījumu brokeru sabiedrību darbības atjaunošanas un noregulējuma likumā" (24-TA-2440), likumprojektu "Grozījumi Ieguldījumu brokeru sabiedrību likumā" (24-TA-2441), likumprojektu "Grozījumi Finanšu instrumentu tirgus likumā" (24-TA-2442), likumprojektu "Grozījumi Maksājumu pakalpojumu un elektroniskās naudas likumā" (24-TA-2443) un likumprojektu "Grozījumi Privāto pensiju fondu likumā" (24-TA-2444).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2022/2556 ar ko groza Direktīvas 2009/65/EK, 2009/138/EK, 2011/61/ES, 2013/36/ES, 2014/59/ES, 2014/65/ES, (ES) 2015/2366 un (ES) 2016/2341 attiecībā uz finanšu nozares digitālās darbības noturību.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Direktīvas Nr. 2022/2556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2022/2556 ar ko groza Direktīvas 2009/65/EK, 2009/138/EK, 2011/61/ES, 2013/36/ES, 2014/59/ES, 2014/65/ES, (ES) 2015/2366 un (ES) 2016/2341 attiecībā uz finanšu nozares digitālās darbības noturību.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pārvaldes sabiedrību likuma 13. panta pirmās daļas 4.</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likuma 54.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22. panta otrās daļas 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10.</w:t>
            </w:r>
            <w:r w:rsidR="00000000" w:rsidRPr="00000000" w:rsidDel="00000000">
              <w:rPr>
                <w:sz w:val="24"/>
                <w:vertAlign w:val="superscript"/>
                <w:rtl w:val="0"/>
              </w:rPr>
              <w:t xml:space="preserve">1</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34.</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34.</w:t>
            </w:r>
            <w:r w:rsidR="00000000" w:rsidRPr="00000000" w:rsidDel="00000000">
              <w:rPr>
                <w:sz w:val="24"/>
                <w:vertAlign w:val="superscript"/>
                <w:rtl w:val="0"/>
              </w:rPr>
              <w:t xml:space="preserve">2</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101.</w:t>
            </w:r>
            <w:r w:rsidR="00000000" w:rsidRPr="00000000" w:rsidDel="00000000">
              <w:rPr>
                <w:sz w:val="24"/>
                <w:vertAlign w:val="superscript"/>
                <w:rtl w:val="0"/>
              </w:rPr>
              <w:t xml:space="preserve">3</w:t>
            </w:r>
            <w:r w:rsidR="00000000" w:rsidRPr="00000000" w:rsidDel="00000000">
              <w:rPr>
                <w:sz w:val="24"/>
                <w:rtl w:val="0"/>
              </w:rPr>
              <w:t xml:space="preserve">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11. panta sestās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11. panta sestās daļas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2. punkta "a", "b",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5.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brokeru sabiedrību likuma 31. panta pirmās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brokeru sabiedrību likuma 31.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132.</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27. panta 2.</w:t>
            </w:r>
            <w:r w:rsidR="00000000" w:rsidRPr="00000000" w:rsidDel="00000000">
              <w:rPr>
                <w:sz w:val="24"/>
                <w:vertAlign w:val="superscript"/>
                <w:rtl w:val="0"/>
              </w:rPr>
              <w:t xml:space="preserve">1</w:t>
            </w:r>
            <w:r w:rsidR="00000000" w:rsidRPr="00000000" w:rsidDel="00000000">
              <w:rPr>
                <w:sz w:val="24"/>
                <w:rtl w:val="0"/>
              </w:rPr>
              <w:t xml:space="preserve">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27. panta 2.</w:t>
            </w:r>
            <w:r w:rsidR="00000000" w:rsidRPr="00000000" w:rsidDel="00000000">
              <w:rPr>
                <w:sz w:val="24"/>
                <w:vertAlign w:val="superscript"/>
                <w:rtl w:val="0"/>
              </w:rPr>
              <w:t xml:space="preserve">1</w:t>
            </w:r>
            <w:r w:rsidR="00000000" w:rsidRPr="00000000" w:rsidDel="00000000">
              <w:rPr>
                <w:sz w:val="24"/>
                <w:rtl w:val="0"/>
              </w:rPr>
              <w:t xml:space="preserve">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35.</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35.</w:t>
            </w:r>
            <w:r w:rsidR="00000000" w:rsidRPr="00000000" w:rsidDel="00000000">
              <w:rPr>
                <w:sz w:val="24"/>
                <w:vertAlign w:val="superscript"/>
                <w:rtl w:val="0"/>
              </w:rPr>
              <w:t xml:space="preserve">1</w:t>
            </w:r>
            <w:r w:rsidR="00000000" w:rsidRPr="00000000" w:rsidDel="00000000">
              <w:rPr>
                <w:sz w:val="24"/>
                <w:rtl w:val="0"/>
              </w:rPr>
              <w:t xml:space="preserve"> panta 9.</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3.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29.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104.</w:t>
            </w:r>
            <w:r w:rsidR="00000000" w:rsidRPr="00000000" w:rsidDel="00000000">
              <w:rPr>
                <w:sz w:val="24"/>
                <w:vertAlign w:val="superscript"/>
                <w:rtl w:val="0"/>
              </w:rPr>
              <w:t xml:space="preserve">1</w:t>
            </w:r>
            <w:r w:rsidR="00000000" w:rsidRPr="00000000" w:rsidDel="00000000">
              <w:rPr>
                <w:sz w:val="24"/>
                <w:rtl w:val="0"/>
              </w:rPr>
              <w:t xml:space="preserve"> panta otrā, trešā, ceturtā,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104.</w:t>
            </w:r>
            <w:r w:rsidR="00000000" w:rsidRPr="00000000" w:rsidDel="00000000">
              <w:rPr>
                <w:sz w:val="24"/>
                <w:vertAlign w:val="superscript"/>
                <w:rtl w:val="0"/>
              </w:rPr>
              <w:t xml:space="preserve">2</w:t>
            </w:r>
            <w:r w:rsidR="00000000" w:rsidRPr="00000000" w:rsidDel="00000000">
              <w:rPr>
                <w:sz w:val="24"/>
                <w:rtl w:val="0"/>
              </w:rPr>
              <w:t xml:space="preserve"> panta trešā, ceturtā,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Privāto pensiju fondu likuma 20. panta 3.</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https://tapportals.mk.gov.lv/public_participation/50da79d7-5185-46e8-bc6b-7697a1e0e7c6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noslēdzās 2024. gada 18. oktobrī. Komentāri, iebildumi vai priekšlikumi par likumprojektu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24-TA-2436</w:t>
    </w:r>
    <w:r>
      <w:br/>
    </w:r>
    <w:r w:rsidR="00000000" w:rsidRPr="00000000" w:rsidDel="00000000">
      <w:rPr>
        <w:rtl w:val="0"/>
      </w:rPr>
      <w:t xml:space="preserve">Izdrukāts 29.07.2026. 23.47 - 5.0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24-TA-2436</w:t>
    </w:r>
    <w:r>
      <w:br/>
    </w:r>
    <w:r w:rsidR="00000000" w:rsidRPr="00000000" w:rsidDel="00000000">
      <w:rPr>
        <w:rtl w:val="0"/>
      </w:rPr>
      <w:t xml:space="preserve">Izdrukāts 29.07.2026. 23.47 - 5.0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anotācija_(ex_ante)_24-TA-2436.docx</dc:title>
</cp:coreProperties>
</file>

<file path=docProps/custom.xml><?xml version="1.0" encoding="utf-8"?>
<Properties xmlns="http://schemas.openxmlformats.org/officeDocument/2006/custom-properties" xmlns:vt="http://schemas.openxmlformats.org/officeDocument/2006/docPropsVTypes"/>
</file>