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20. februāra noteikumos Nr. 113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Likuma par budžeta un finanšu vadību 19.</w:t>
      </w:r>
      <w:r w:rsidR="00000000" w:rsidRPr="00000000" w:rsidDel="00000000">
        <w:rPr>
          <w:vertAlign w:val="superscript"/>
          <w:rtl w:val="0"/>
        </w:rPr>
        <w:t xml:space="preserve">3</w:t>
      </w:r>
      <w:r w:rsidR="00000000" w:rsidRPr="00000000" w:rsidDel="00000000">
        <w:rPr>
          <w:rtl w:val="0"/>
        </w:rPr>
        <w:t xml:space="preserve"> panta otro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precizēt kārtību, kādā tiek īstenots Eiropas Savienības Atveseļošanas un noturības mehānisma plāna 2.2. reformu un investīciju virziena “Uzņēmumu digitālā transformācija un inovācijas” 2.2.1.5.i. investīcijas “Mediju nozares uzņēmumu digitālās transformācijas veicināšana” pasākums “Mācības mediju nozares speciālistu digitālās kompetences un zināšanu pilnveidošanai”, nodrošinot atbalstu mediju uzņēmumu tehnoloģisko risinājumu attīstībā.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28. aprīļa rīkojumu Nr. 292 “Par Latvijas Atveseļošanas un noturības mehānisma plānu” apstiprināts Latvijas Atveseļošanas un noturības mehānisma plāns, paredzot 2.2. reformas un investīciju virziena “Uzņēmumu digitālā transformācija un inovācijas” 2.2.1.5.i. investīcijas “Mediju nozares uzņēmumu digitālās transformācijas veicināšana” (turpmāk – 2.2.1.5.i. investīcija) ietvaros atbalstu mediju uzņēmumu tehnoloģisko risinājumu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Eiropas Savienības Atveseļošanas un noturības mehānisma plāna 2.2. reformu un investīciju virziena “Uzņēmumu digitālā transformācija un inovācijas” 2.2.1.5.i. investīcijas finansējums ir 5 700 000 </w:t>
      </w:r>
      <w:r w:rsidR="00000000" w:rsidRPr="00000000" w:rsidDel="00000000">
        <w:rPr>
          <w:i w:val="1"/>
          <w:rtl w:val="0"/>
        </w:rPr>
        <w:t xml:space="preserve">euro</w:t>
      </w:r>
      <w:r w:rsidR="00000000" w:rsidRPr="00000000" w:rsidDel="00000000">
        <w:rPr>
          <w:rtl w:val="0"/>
        </w:rPr>
        <w:t xml:space="preserve">, kuru plānots piešķirt, īstenojot divus pasākumus ar šādu finansējuma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- 2 000 000 </w:t>
      </w:r>
      <w:r w:rsidR="00000000" w:rsidRPr="00000000" w:rsidDel="00000000">
        <w:rPr>
          <w:i w:val="1"/>
          <w:rtl w:val="0"/>
        </w:rPr>
        <w:t xml:space="preserve">euro </w:t>
      </w:r>
      <w:r w:rsidR="00000000" w:rsidRPr="00000000" w:rsidDel="00000000">
        <w:rPr>
          <w:rtl w:val="0"/>
        </w:rPr>
        <w:t xml:space="preserve">Eiropas Savienības Atveseļošanas un noturības mehānisma plāna 2.2. reformu un investīciju virziena “Uzņēmumu digitālā transformācija un inovācijas” 2.2.1.5.i. investīcijas pasākuma “Mācības mediju nozares speciālistu digitālās kompetences un zināšanu pilnveidošanai”” (turpmāk – pasākums)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- 3 700 000 </w:t>
      </w:r>
      <w:r w:rsidR="00000000" w:rsidRPr="00000000" w:rsidDel="00000000">
        <w:rPr>
          <w:i w:val="1"/>
          <w:rtl w:val="0"/>
        </w:rPr>
        <w:t xml:space="preserve">euro </w:t>
      </w:r>
      <w:r w:rsidR="00000000" w:rsidRPr="00000000" w:rsidDel="00000000">
        <w:rPr>
          <w:rtl w:val="0"/>
        </w:rPr>
        <w:t xml:space="preserve">Eiropas Savienības Atveseļošanas un noturības mehānisma plāna 2.2. reformu un investīciju virziena “Uzņēmumu digitālā transformācija un inovācijas” 2.2.1.5.i. investīcijas pasākuma “Mediju nozares uzņēmumu procesu modernizēšana”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22. februārī stājās spēkā Ministru kabineta 2024. gada 20. februāra noteikumi Nr. 113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 (turpmāk – Noteikumi Nr. 113).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113 nosaka, ka 2.2.1.5.i. investīcijas pasākuma mērķis ir veicināt mediju nozares digitālo transformāciju, un darbības pielāgošanu mūsdienu mediju patēriņa tendencēm digitālā vidē, vienlaikus vecinot vietējā mediju satura veidotāju ilgtspēju, tādējādi saglabājot plurālistisku mediju tirgu un stiprinot noturību pret dezinformāciju.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digitālo prasmju uzlabošana ir nepieciešama plašākā mediju tirgus dalībnieku lokā, lai saglabātu plurālismu mediju vidē, ir plānots, ka finansējuma saņēmējs sniegs atbalstu vismaz desmit gala labuma guvējiem – mediju uzņēmumiem – digitālās kompetences paaugstināšanai, aptverot vismaz 100 mediju nozares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pasākuma gala labuma guvēji ir mediju nozares asociācijas un uzņēmumi, kurus finansējuma saņēmējs atlasa atklātas atlases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Kompetenču centra darbību paredzēts nodrošināt 2.2.1.5.i. investīcijas pasākuma ietvaros līdz 2026. gada 30. jūnijam.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2024. gada 20. martā ir izsludinājusi atklātu projektu iesniegumu atlasi un 2024. gada 11. aprīlī organizējusi informatīvo semināru par pasākuma ieviešanas nosacījumiem. Veicot konsultācijas ar potenciālajiem projekta iesniedzējiem, Kultūras ministrija ir izvērtējusi atsevišķus Noteikumu Nr. 113 nosacījumus un secinājusi, ka nepieciešams papildināt Noteikumus Nr.113 ar komercdarbības atbalsta piešķiršanu saistītiem nosacījumiem un precizēt atsevišķus Noteikumos Nr. 113 iekļautos nosacījumus, lai potenciālajiem projekta iesniedzējiem nodrošinātu saprotamāku 2.2.1.5.i. investīcijas pasākuma īstenošanu, kā arī veiktu Noteikumos Nr. 113 tehniskus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Noteikumos Nr. 113 tiek veikti šādi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pievienotās vērtības nodokļa izmaksas nav attiecināmas finansēšanai no Atveseļošanas un noturības mehānisma plāna finansējuma, bet tās norāda projektā, Noteikumi Nr. 113 nosaka, ka pievienotās vērtības nodokļa izmaksas sedz finansējuma saņēmējs. Ņemot vērā to, ka projekta ietvaros arī gala labuma guvējam un sadarbības partnerim var rasties izmaksas par auditorijas pētījumu risinājumu, informācijas un komunikācijas tehnoloģiju (iekārtas, programmatūra, licence) izstrādi, iegādi, atjaunošanu un modernizēšanu, ar Projektu tiek precizēts Noteikumu Nr. 113 12. punkts, nosakot, ka pievienotās vērtības nodokļa izmaksas sedz finansējuma saņēmējs vai sadarbības partneris, vai gala labuma guvējs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kompetenču centra darbības stratēģijas izstrāde tiek nodrošināta pirms projekta īstenošanas uzsākšanas un tā tiek pievienota projekta iesniegumam, Noteikumos Nr. 113 svītrota 14.4. apakšpunktā noteiktā atbalstāmā darbība – kompetenču centra darbības stratēģijas izstrāde.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Nr. 113 15.4. apakšpunkts nosaka, ka attiecināmas ir izmaksas gala labuma guvēju digitālajai attīstībai un projekta mērķu sasniegšanai saskaņā ar gala labuma guvēja digitālās attīstības plānu, kā arī 43.4. apakšpunkts paredz pienākumu uzraudzīt, lai gala labuma guvējs sasniedz digitālās attīstības plānā paredzētos rādītājus, nepieciešams noteikt, ka finansējuma saņēmēja pienākums ir izstrādāt gala labuma guvēju digitālās attīstības plānu, kā arī noteikt, ka digitālās attīstības plāna izstrāde ir atbalstāmā darbība un attiecināmās izmaksas. Attiecīgi ar Projektu pārskatāmības labad precizēts 15.1. apakšpunkts un 43.4. apakšpunkts, nosakot, gala labuma guvēju darbības efektivizēšanai nepieciešamo digitālās attīstības plānu izstrāde ir atbalstāma darbība un attiecināmās izmaksas, ka attiecināmās izmaksas ietver gala labuma guvēju darbības efektivizēšanai nepieciešamo digitālās attīstības plānu izstrādes izmaksas, kā arī precizēti finansējuma saņēmēja pienākumi, nosakot pienākumu izstrādāt katram gala labuma guvējam digitālās attīstības plānu.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113 nosaka, ka projekta iesniedzējs apliecina vismaz divu gadu pieredzi informācijas tehnoloģiju, izglītības, medijpratības, mentoringa un konsultēšanas jomā, paredzot, ka projekta iesniedzējs ir juridiska persona vai juridisku personu apvienība. Tomēr papildus nepieciešams paredzēt iespēju, ka projekta iesniedzējs projekta īstenošanai piesaista sadarbības partneri, attiecīgi precizēts Noteikumu Nr. 113 20. punkts, nosakot, ka arī projekta iesniedzējs kopā ar sadarbības partneri summāri var apliecināt vismaz divu gadu pieredzi informācijas tehnoloģiju, izglītības, medijpratības, mentoringa un konsultēšanas jomā. Papildus Noteikumi Nr. 113 papildināti ar 22.4. apakšpunktu, nosakot, ka projekta iesniedzējam projekta iesniegumam jāpievieno sadarbības līguma projekts ar sadarbības partneri un projekta vērtēšanas posmā arī uz sadarbības partneri ir attiecināmi izslēgšanas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Nr. 113 15.5. apakšpunkts ierobežo projekta vadības un īstenošanas personāla izmaksas līdz desmit procentiem no kopējām projekta izmaksām, kas nav pietiekami, lai īstenotu kvalitatīvu projekta īstenošanu, piesaistot kompetentu projekta īstenošanas personālu, Noteikumu Nr. 113 15.5. apakšpunktā svītrota desmit procentu ierobežojuma attiecināšana uz projekta īstenošanas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atbilstoši Ministru kabineta 2023.gada 25.aprīļa noteikumiem Nr.205 “Valsts budžeta līdzekļu plānošanas kārtība Eiropas Savienības fondu projektu īstenošanai un maksājumu veikšanai 2021.– 2027. gada plānošanas periodā” tiek tehniski precizēts Noteikumu Nr.113 38.punkts, nosakot, ka finansējuma saņēmējs avansa maksājumu var saņemt, ja ir atvēris kontu Valsts kasē vai darījumu kontu Latvijas Republikā reģistrētā kredītiestādē vai Eiropas Savienībā reģistrēta kredītiestāde ir izsniegusi bankas garantiju par labu aģentūrai, iesniedzot aģentūrai pieprasījumu avansa maksājumam un pamatojot avansa maksājuma apmēru, vienlaikus nodrošinot, ka tas nepārsniedz 30 procentus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Noteikumi Nr.113 tiek papildināti ar 39.</w:t>
      </w:r>
      <w:r w:rsidR="00000000" w:rsidRPr="00000000" w:rsidDel="00000000">
        <w:rPr>
          <w:vertAlign w:val="superscript"/>
          <w:rtl w:val="0"/>
        </w:rPr>
        <w:t xml:space="preserve">1</w:t>
      </w:r>
      <w:r w:rsidR="00000000" w:rsidRPr="00000000" w:rsidDel="00000000">
        <w:rPr>
          <w:rtl w:val="0"/>
        </w:rPr>
        <w:t xml:space="preserve"> punktu, kas nosaka, ka Centrālā finanšu un līgumu aģentūra finansējuma saņēmējam izmaksājamo avansa summu apstiprina vai noraida, pamatojoties uz sasniedzamajiem mērķiem, maksājuma lietderību un finanšu drošību, ievērojot normatīvo aktu prasības maksājumu un darījumu apliecinošo dokumentu izstrādāšanas un noformēšanas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precizēts Noteikumu Nr.113 43.7.apakšpunkts, svītrojot nosacījumu, ka finansējuma saņēmējs Kohēzijas politikas fondu vadības informācijas sistēmā ievada informāciju progresa pusgada ziņojumam, vienlaikus precizējot, ka informācija maksājuma pieprasījuma sagatavošanai jāievada ne retāk kā divas reizes gadā, iekļaujot izdevumu un sasniegto rādītāju pamatojošos dokumentus. Pēdējo maksājuma pieprasījumu iesniedz Kohēzijas politikas fondu vadības informācijas sistēmā līdz 2026.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 Projektu Noteikumi Nr.113 tiek papildināti ar 43.</w:t>
      </w:r>
      <w:r w:rsidR="00000000" w:rsidRPr="00000000" w:rsidDel="00000000">
        <w:rPr>
          <w:vertAlign w:val="superscript"/>
          <w:rtl w:val="0"/>
        </w:rPr>
        <w:t xml:space="preserve">1</w:t>
      </w:r>
      <w:r w:rsidR="00000000" w:rsidRPr="00000000" w:rsidDel="00000000">
        <w:rPr>
          <w:rtl w:val="0"/>
        </w:rPr>
        <w:t xml:space="preserve"> punktu, kas nosaka sadarbības partnera pienākumus: nodrošināt interešu konflikta, korupcijas un krāpšanas un dubultfinansējuma nepieļaušanu projekta ietvaros un iepirkumu, kas nepieciešams projekta īstenošanai, veikt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 zaļais publiskais iepirkums, inovāciju iepirkums un sociāli atbildīgs iepirkums.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Noteikumi Nr.113 tiek papildināti ar nodaļu “VI. Ar komercdarbības atbalsta piešķiršanu saistītie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noteikts, ka projekta iesniedzējam un tā sadarbības partnerim Noteikumu Nr. 113 15.1., 15.2., 15.3. un 15.5. apakšpunktā noteiktajām izmaksām tiek sniegts atbalsts kā </w:t>
      </w:r>
      <w:r w:rsidR="00000000" w:rsidRPr="00000000" w:rsidDel="00000000">
        <w:rPr>
          <w:i w:val="1"/>
          <w:rtl w:val="0"/>
        </w:rPr>
        <w:t xml:space="preserve">de minimis</w:t>
      </w:r>
      <w:r w:rsidR="00000000" w:rsidRPr="00000000" w:rsidDel="00000000">
        <w:rPr>
          <w:rtl w:val="0"/>
        </w:rPr>
        <w:t xml:space="preserve"> atbalsts granta veidā, ievērojot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atbalsts tiek piešķirts kā komercdarbības atbalsts, projekta īstenošanas gaitā radušās sadārdzinājuma izmaksas finansējuma saņēmējs sedz no saviem līdzekļiem, kas brīvi no jebkāda komercdarbības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personāla un projekta īstenošanas personāla izmaksas ir attiecināmas uz darba līguma pamata, uz uzņēmuma līguma pamata un arī ārpakalpojuma veidā, veicot  pakalpojuma iegādi atklātā, pārredzamā, nediskriminējošā un konkurenci neierobežojošā procedūrā. Neatkarīgi no tā, vai personāla izmaksas veidojas uz darba līguma, uzņēmuma līguma pamata vai ārpakalpojumā, atbalsts tām tiek sniegts kā </w:t>
      </w:r>
      <w:r w:rsidR="00000000" w:rsidRPr="00000000" w:rsidDel="00000000">
        <w:rPr>
          <w:i w:val="1"/>
          <w:rtl w:val="0"/>
        </w:rPr>
        <w:t xml:space="preserve">de minimis</w:t>
      </w:r>
      <w:r w:rsidR="00000000" w:rsidRPr="00000000" w:rsidDel="00000000">
        <w:rPr>
          <w:rtl w:val="0"/>
        </w:rPr>
        <w:t xml:space="preserve"> atbalsts granta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Konsultācijās ar Eiropas Komisijas pārstāvjiem konstatēts, ka Kultūras ministrijas plānotie atbalsta pasākumi gala labuma guvējiem – reģionālajiem medijiem un ziņu medijiem (gan interneta platformās bāzētiem, gan drukātā veidā iznākošiem) nav uzskatāms par valsts atbalstu Līguma par Eiropas Savienības darbību 107. panta pirmās daļas izpratnē. Attiecīgi Noteikumi Nr. 113 nosaka, ka Noteikumu Nr. 113 15.4. apakšpunktā noteiktās izmaksas gala labuma guvējam nav uzskatāmas par valsts atbalstu Līguma par Eiropas Savienības darbību 107. panta pirmās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Nr.113 15.4. apakšpunktā noteiktā auditorijas pētījumu risinājumu, informācijas un komunikācijas tehnoloģiju (iekārtas, programmatūra, licence) izstrāde, iegāde, atjaunošana un modernizēšana tiek veikta, pakalpojuma iegādi īstenojot atklātā, pārredzamā, nediskriminējošā un konkurenci neierobežojošā procedūrā, atbalsts finansējuma saņēmējam un sadarbības partnerim Noteikumu Nr.113 15.4. apakšpunktā minēto izmaksu segšanai nav uzskatāms par komercdarbības atbalstu. Noteikumu Nr.113 15.4. apakšpunktā plānotās darbības veicējs un attiecīgi atbalsta saņēmējs būs ārpakalpojumā iepirkts pakalpojuma sniedzējs un projekta iesniedzējs vai sadarbības partneris būs tikai iepirkuma organizētājs un Noteikumu Nr.113 15.4. apakšpunktā plānotās darbības rezultātā iegūtais produkts vai pakalpojums nonāks konkrētā gala saņēmēja rīcībā.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noteikts, ka piešķirot </w:t>
      </w:r>
      <w:r w:rsidR="00000000" w:rsidRPr="00000000" w:rsidDel="00000000">
        <w:rPr>
          <w:i w:val="1"/>
          <w:rtl w:val="0"/>
        </w:rPr>
        <w:t xml:space="preserve">de minimis</w:t>
      </w:r>
      <w:r w:rsidR="00000000" w:rsidRPr="00000000" w:rsidDel="00000000">
        <w:rPr>
          <w:rtl w:val="0"/>
        </w:rPr>
        <w:t xml:space="preserve"> atbalstu, aģentūra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Nr. 2023/2831 2. panta 2.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Trīs gadu laikposms ir jāvērtē kā slīdošs periods un attiecībā uz katru jaunu </w:t>
      </w:r>
      <w:r w:rsidR="00000000" w:rsidRPr="00000000" w:rsidDel="00000000">
        <w:rPr>
          <w:i w:val="1"/>
          <w:rtl w:val="0"/>
        </w:rPr>
        <w:t xml:space="preserve">de minimis</w:t>
      </w:r>
      <w:r w:rsidR="00000000" w:rsidRPr="00000000" w:rsidDel="00000000">
        <w:rPr>
          <w:rtl w:val="0"/>
        </w:rPr>
        <w:t xml:space="preserve"> atbalsta piešķiršanu jāņem vērā </w:t>
      </w:r>
      <w:r w:rsidR="00000000" w:rsidRPr="00000000" w:rsidDel="00000000">
        <w:rPr>
          <w:i w:val="1"/>
          <w:rtl w:val="0"/>
        </w:rPr>
        <w:t xml:space="preserve">de minimis</w:t>
      </w:r>
      <w:r w:rsidR="00000000" w:rsidRPr="00000000" w:rsidDel="00000000">
        <w:rPr>
          <w:rtl w:val="0"/>
        </w:rPr>
        <w:t xml:space="preserve"> atbalsta kopsumma, kas piešķirta iepriekšējos trīs gados, attiecīgi, ar trīs gadu periodu saprotams laika periods no konkrēta datuma, kas ir jaunā piešķiramā atbalsta datums trīs gadu periodā atpakaļ, piemēram, ja jaunā atbalsta piešķiršanas datums ir 2024. gada 17. jūlijs, trīs gadu periods būs skaitāms līdz 2021. gada 17.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attiecībā uz maksimālo atbalsta intensitātes vai atbalsta summu atbalsta saņēmējam tā var būt noteikta ne vien komercdarbības atbalsta programmā, bet arī saistošajos </w:t>
      </w:r>
      <w:r w:rsidR="00000000" w:rsidRPr="00000000" w:rsidDel="00000000">
        <w:rPr>
          <w:i w:val="1"/>
          <w:rtl w:val="0"/>
        </w:rPr>
        <w:t xml:space="preserve">ad-hoc</w:t>
      </w:r>
      <w:r w:rsidR="00000000" w:rsidRPr="00000000" w:rsidDel="00000000">
        <w:rPr>
          <w:rtl w:val="0"/>
        </w:rPr>
        <w:t xml:space="preserve"> atbalsta un Eiropas Komisijas lēmumos. Līdz ar to Projekta 51. punktā noteiktās prasības ir attiecināmas gan uz atbalsta pretendentu, kas ir atbildīgs par korektas, patiesas un pilnīgas informācijas sniegšanu, gan uz atbalsta sniedzēju, kura pienākums, piešķirot atbalstu, ir veikt pārbaudi par atbilstību kumulācijas normā minētajām prasībām. Ar </w:t>
      </w:r>
      <w:r w:rsidR="00000000" w:rsidRPr="00000000" w:rsidDel="00000000">
        <w:rPr>
          <w:i w:val="1"/>
          <w:rtl w:val="0"/>
        </w:rPr>
        <w:t xml:space="preserve">ad-hoc</w:t>
      </w:r>
      <w:r w:rsidR="00000000" w:rsidRPr="00000000" w:rsidDel="00000000">
        <w:rPr>
          <w:rtl w:val="0"/>
        </w:rPr>
        <w:t xml:space="preserve"> lēmumu saskaņā ar Komercdarbības atbalsta kontroles likuma 1. panta otrās daļas 1. punktu saprot gadījumu, kad komercdarbības atbalstu piešķir ārpus atbalsta programmas, piemēram, ar atsevišķu Ministru kabineta rīkojumu vai pašvaldības domes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 2023/2831 nosacījumi, finansējuma saņēmējam ir pienākums atmaksāt aģentūrai visu projekta ietvaros saņemto nelikumīgo </w:t>
      </w:r>
      <w:r w:rsidR="00000000" w:rsidRPr="00000000" w:rsidDel="00000000">
        <w:rPr>
          <w:i w:val="1"/>
          <w:rtl w:val="0"/>
        </w:rPr>
        <w:t xml:space="preserve">de minimis</w:t>
      </w:r>
      <w:r w:rsidR="00000000" w:rsidRPr="00000000" w:rsidDel="00000000">
        <w:rPr>
          <w:rtl w:val="0"/>
        </w:rPr>
        <w:t xml:space="preserve"> atbalstu no līdzekļiem, kas ir brīvi no komercdarbības atbalsta, kopā ar nelikumības procentiem, kas aprēķināmi no dienas, kad projektā </w:t>
      </w:r>
      <w:r w:rsidR="00000000" w:rsidRPr="00000000" w:rsidDel="00000000">
        <w:rPr>
          <w:i w:val="1"/>
          <w:rtl w:val="0"/>
        </w:rPr>
        <w:t xml:space="preserve">de minimis</w:t>
      </w:r>
      <w:r w:rsidR="00000000" w:rsidRPr="00000000" w:rsidDel="00000000">
        <w:rPr>
          <w:rtl w:val="0"/>
        </w:rPr>
        <w:t xml:space="preserve"> atbalsts tika izmaksāts finansējuma saņēmējam līdz tā atgūšanas dienai,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Projektu Noteikumos Nr. 113 tiek veikti precizējumi projektu iesniegumu vērtēšanas kritērijos, kas noteikti Noteikumu Nr. 113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Noteikumu Nr. 113 papildināti ar komercdarbības atbalsta piešķiršanas nosacījumiem, Noteikumu Nr. 113 pielikums papildināts ar attiecīgiem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Projekts paredz iespēju projekta iesniedzējam projekta īstenošanai piesaistīt sadarbības partneri, projektu iesniegumu vērtēšanas kritēriji papildināti ar sadarbības partnera vērtēšanu;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kritērijs Nr. 2.6. tehniski precizēts, dzēšot vārdus “ar izdevumus apliecinošiem dokumentiem”, ņemot vērā, ka projektu iesniegumu iesniegšanas brīdī vēl nebūs izdevumu pamatojošu dokumentu;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kritērijs Nr. 3.1. tehniski precizēts, dzēšot vārdus “un rezultātu uzturēšanai”, ņemot vērā, ka Noteikumi Nr. 113 neparedz prasību par rezultātu uzturēšanu.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Kultūras ministrija ir aicinājusi Centrālo finanšu un līgumu aģentūru pagarināt projekta iesniegumu iesniegšanas termiņu līdz 2024. gada 18. jūlijam. Pēc Projekta spēkā stāšanās Centrālā finanšu un līgumu aģentūra veiks atbilstošus grozījumus atlases nolikumā un par tiem informēs potenciālos projekta iesniedzējus. Gadījumā, ja līdz Projekta spēkā stāšanās brīdim kāds projekta iesniegums jau būs iesniegts, tas tiks atgriezts projekta iesniedzējam sagatavošanā, nodrošinot iespēju veikt izmaiņas jau iesniegtajā projekta iesniegumā un iesniegt to atkārtoti.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pasākuma ietvaros paredzētais atbalsts mediju nozares uzņēmumiem, to darbiniekiem un mediju nozares speciālistiem veicinās to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pasākuma ietvaros sniegtais atbalsts veicinās mediju nozares uzņēmumu digitālo transformāciju, kas nodrošinās to konkurētspēju. Tā rezultātā tiks veicināts Latvijas mediju vides plurālisms, kas ir viens no mediju politikas sasniedzamajiem mērķiem. Jaunu zināšanu un tehnoloģiju ieviešana mediju darbība veicinās nozares produktivitāti, rezultātā ar zemākām izmaksām radot galaproduktu. Vienlaikus tiks veicināta mediju nozarē strādājošo konkurētspēja, ņemot vērā, ka tiks uzlabotas prasmes darbam ar jaunākām tehnoloģijām. Investīcijas mediju, tai skaitā nozares speciālistu, digitālajā transformācijā veicinās to konkurētspēju ar ārvalstu pakalpojumu sniedzējiem, tādējādi nodrošinot papildu nodokļu ieņēmumus valsts budžetā.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pasākuma ietvaros atbalstāmās darbības ļaus uzlabot mediju nozarē nodarbināto digitālās prasmes, tādējādi paaugstinot produktivitāti.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13. decembra Regulas (ES) Nr. 2023/2831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 gada 13. decembra Regulas (ES) Nr. 2023/2831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2023/2831 vispārīga atsauce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47., 50. un 56.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 un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un 52.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punkta a), b), c) un d) apakšpunkts un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un 53.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3. punkts un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 biedrība “Latvijas Telekomunikāciju asociācija”, Latvijas Interneta asociācija, Latvijas Pašvaldību savienība, biedrība “Latvijas Elektronisko komunikāciju asociācija”, biedrība “Latvijas Informācijas tehnoloģiju klasteris”.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politikas konsultatīvā padome 2023. gada 18. oktobra sēdē izskatīja Projektu un atbalstīja tālāku virzību apstiprināšanai Ministru kabinetam.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pasākums būtiski sekmē klimata pārmaiņu mazināšanas mērķi saskaņā ar Taksonomijas regulas 10. panta pirmās daļas “c” apakšpunktā minēto darbību “Palielināt videi nekaitīgu vai klimatneitrālu mobilitāti” sasniegšanu, ko atbalsta infrastruktūras ieguldījumi platjoslas infrastruktūras izveidē, kas nodrošina pakalpojumu saņemšanu e-vidē.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pasākums būtiski sekmē klimata pārmaiņu mazināšanas mērķi saskaņā ar Eiropas Parlamenta un Padomes Regulas (ES) 2020/852 (2020. gada 18. jūnijs) par regulējuma izveidi ilgtspējīgu ieguldījumu veicināšanai un ar ko groza Regulu (ES) 2019/2088 10. panta pirmās daļas “c” apakšpunktā minēto darbību “Palielināt videi nekaitīgu vai klimatneitrālu mobilitāti” sasniegšanu, ko atbalsta ieguldījumi, kas nodrošina pakalpojumu saņemšanu e-vidē.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Principa “Nenodarīt būtisku kaitējumu” 2.2.1.5.i. investīcijas novērtējumā norādīts, ka nav tikusi konstatēta negatīva ietekme uz vidi. Finansējuma saņēmēja un projekta īstenotāja pienākums ir izvērtēt un nodrošināt, ka visi principa “Nenodarīt būtisku kaitējumu” nosacījumi tiek ievēroti.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īstenošanā, ņemot vērā konkrēto darbību specifiku, tiks izvērtēta iespēja iekļaut darbības, kas veicinās dzimumu līdztiesību,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īstenotāji, īstenojot kompetenču centra darbību, nodrošina vienlīdzīgu darba samaksu par vienādas vērtības darbu sievietēm un vīriešiem.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24-TA-952</w:t>
    </w:r>
    <w:r>
      <w:br/>
    </w:r>
    <w:r w:rsidR="00000000" w:rsidRPr="00000000" w:rsidDel="00000000">
      <w:rPr>
        <w:rtl w:val="0"/>
      </w:rPr>
      <w:t xml:space="preserve">Izdrukāts 29.07.2026. 22.26 - 5.0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24-TA-952</w:t>
    </w:r>
    <w:r>
      <w:br/>
    </w:r>
    <w:r w:rsidR="00000000" w:rsidRPr="00000000" w:rsidDel="00000000">
      <w:rPr>
        <w:rtl w:val="0"/>
      </w:rPr>
      <w:t xml:space="preserve">Izdrukāts 29.07.2026. 22.26 - 5.0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anotācija_(ex_ante)_24-TA-952.docx</dc:title>
</cp:coreProperties>
</file>

<file path=docProps/custom.xml><?xml version="1.0" encoding="utf-8"?>
<Properties xmlns="http://schemas.openxmlformats.org/officeDocument/2006/custom-properties" xmlns:vt="http://schemas.openxmlformats.org/officeDocument/2006/docPropsVTypes"/>
</file>