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"Emisijas kvotu izsolīšanas instrumenta finansēto projektu atklāta konkursa "Atbalsts bezemisiju un mazemisiju transportlīdzekļu iegādei" nolikums"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"Emisijas kvotu izsolīšanas instrumenta finansēto projektu atklāta konkursa "Atbalsts bezemisiju un mazemisiju transportlīdzekļu iegādei" nolikums" projekts (turpmāk – noteikumu projekts) ir izstrādāts, pamatojoties uz Klimatnoturības un ekonomiskās ilgtspējas likuma 15. panta astotās daļas 2.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apstiprināt Emisijas kvotu izsolīšanas instrumenta (turpmāk - EKII) finansēto projektu atklātā konkursa nolikumu, kura mērķis ir veicināt siltumnīcefekta gāzu emisiju (turpmāk – SEG emisijas) samazināšanu, atbalstot bezemisiju un mazemiisju transportlīdzekļu iegādi.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Latvijas izaicinājumus transporta nozarē un nepieciešamo virzību uz nozares dekarbonizāciju, pāreja uz videi draudzīgāku transportu kļūst arvien aktuālāka. Pāreja uz videi draudzīgiem transportlīdzekļiem kā rīcībpolitikas virziens noteikts gan Aktualizētajā Nacionālajā klimata un enerģētikas plānā 2021. – 2030. gadam (turpmāk - NEKP), gan Transporta attīstības pamatnostādnēs 2021. – 2027. gadam, gan Smalko daļiņu, amonjaka, slāpekļa oksīdu, gaistošo organisko savienojumu un sēra dioksīda emisiju samazināšanas plānā 2026.‒2030. gadam. Tāpat iepriekš minētie politikas plānošanas dokumenti uzsver nepieciešamību īstenot sociāli taisnīgu pārkārtošanos.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sektors ir otrais lielākais SEG emisiju avots Latvijā, kurš 2023. gadā radīja 31,4% no kopējām SEG emisijām valstī. Lielākā daļa no transporta sektora SEG emisijām 2023. gadā ir radītas no autoceļa transporta (97,4 %), savukārt, autotransporta apakšsektorā lielākais SEG emisiju radītājs pa transportlīdzekļu grupām ir pasažieru automašīnas, kam seko kravas transportlīdzekļi un autobusi.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Latvijas vides, ģeoloģijas un meteoroloģijas centra publicēto kopsavilkumu par "2024. gada siltumnīcefekta gāzu inventarizāciju”, galvenais iemesls SEG emisiju samazinājumam 2020. gadā ir bijis straujais kritums kravu pārvadājumiem ar dzelzceļa transportu un attiecīgi degvielas patēriņa dzelzceļa transportā samazināšanās. Mazāka ietekme uz SEG emisiju samazināšanos bija COVID - 19 infekcijas pandēmijas radītiem ierobežojumiem. 2022. gadā, salīdzinot ar 1990. gadu, Transporta sektora radītās SEG emisijas ir palielinājušās par 3,4%, un, salīdzinot ar 2021. gadu, emisijas samazinājušās par 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Latvijas kopējās SEG emisijas transporta sektorā 2016. – 2022. gadā (kt CO</w:t>
      </w:r>
      <w:r w:rsidR="00000000" w:rsidRPr="00000000" w:rsidDel="00000000">
        <w:rPr>
          <w:vertAlign w:val="subscript"/>
          <w:rtl w:val="0"/>
        </w:rPr>
        <w:t xml:space="preserve">2</w:t>
      </w:r>
      <w:r w:rsidR="00000000" w:rsidRPr="00000000" w:rsidDel="00000000">
        <w:rPr>
          <w:rtl w:val="0"/>
        </w:rPr>
        <w:t xml:space="preserve"> ekv.)</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25"/>
        <w:gridCol w:w="906"/>
        <w:gridCol w:w="897"/>
        <w:gridCol w:w="868"/>
        <w:gridCol w:w="848"/>
        <w:gridCol w:w="819"/>
        <w:gridCol w:w="790"/>
        <w:gridCol w:w="752"/>
        <w:gridCol w:w="713"/>
        <w:gridCol w:w="618"/>
        <w:tblGridChange w:id="0">
          <w:tblGrid>
            <w:gridCol w:w="925"/>
            <w:gridCol w:w="906"/>
            <w:gridCol w:w="897"/>
            <w:gridCol w:w="868"/>
            <w:gridCol w:w="848"/>
            <w:gridCol w:w="819"/>
            <w:gridCol w:w="790"/>
            <w:gridCol w:w="752"/>
            <w:gridCol w:w="713"/>
            <w:gridCol w:w="61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2016.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2017.g.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2018.g.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2019.g.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2020.g.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kopš 1990. gada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kopš 2005. gada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kopš 2021. gada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3167,75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3320,53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3346,37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3328,74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3108,11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3225,71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3141,70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akciju sabiedrības "Ceļu satiksmes drošības direkcija" (turpmāk - CSDD) tīmekļvietnē publicētajai informācijai, uz 2026. gada 1. janvāri Latvijā ir reģistrēti 14 385  elektromobiļi (13 916 – vieglie un 469 – kravas).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NEKP 3.1.1.7. pasākums paredz palielināt bezemisiju vieglo pasažieru transportlīdzekļu skaitu, t.i. pasākuma ietvaros līdz 2030.gadam ir nepieciešams sasniegt 20 000 bezemisiju transportlīdzekļus, piesaistot ES fondu, EKII, Modernizācijas fonda un privāto finansējumu. Savukārt NEKP 3.1.1.11. pasākums paredz motivēt veco transportlīdzekļu norakstīšanu. Par veco transportlīdzekli tiek uzskatīts transportlīdzeklis ar dažāda smaguma bojājumiem (avārija, ugunsgrēks, applūdis), kura remonts ir neizdevīgs salīdzinājumā ar transportlīdzekļa tirgus vērtību, vai transportlīdzeklis vairs neiziet tehnisko apskati, vai netiek izmantots, t.i. pasākuma ietvaros jānoraksta, nododot to apstrādes uzņēmumam, 2% vieglo transportlīdzekļu ar iekšdedzes dzinējiem no autoparka, piesaistot EKII finansējumu 3,6 milj.</w:t>
      </w:r>
      <w:r w:rsidR="00000000" w:rsidRPr="00000000" w:rsidDel="00000000">
        <w:rPr>
          <w:i w:val="1"/>
          <w:rtl w:val="0"/>
        </w:rPr>
        <w:t xml:space="preserve"> 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elektromobiļi veido samērā nelielu daļu no Latvijas kopējā autoparka, pēdējos gados to skaits strauji palielinās un kopš 2022. gada sākuma Latvijā reģistrēto kravas un vieglo elektromobiļu skaits pieaudzis vairāk kā divas reizes. Šis pieaugums saistīts gan ar degvielas un fosilo energoresursu cenu pieaugumu un dažādu priekšrocību nodrošināšanu elektromobiļu lietotājiem, gan ar atbalsta pieejamību elektromobiļu iegādei un atbilstošas infrastruktūras izveidei.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CSDD datiem uz 2025. gada 1. oktobri vieglie elektromobiļi sasniedza 1,6 % no visa Latvijas vieglo transportlīdzekļu parka, kamēr nepilnus 67 % veido dīzeļdegvielas dzinēju transportlīdzekļi un nepilnus 29 % transportlīdzekļi, kas aprīkoti ar benzīna dzinējiem. Transportlīdzekļi ar hibrīda motoru, kam nepieciešamo elektroenerģiju var iegūt, pieslēdzoties ārējam elektroenerģijas avotam (</w:t>
      </w:r>
      <w:r w:rsidR="00000000" w:rsidRPr="00000000" w:rsidDel="00000000">
        <w:rPr>
          <w:i w:val="1"/>
          <w:rtl w:val="0"/>
        </w:rPr>
        <w:t xml:space="preserve">plug-in</w:t>
      </w:r>
      <w:r w:rsidR="00000000" w:rsidRPr="00000000" w:rsidDel="00000000">
        <w:rPr>
          <w:rtl w:val="0"/>
        </w:rPr>
        <w:t xml:space="preserve"> hibrīdauto; ārēji lādējams hibrīdauto, spraudņa hibrīdauto, PHEV (</w:t>
      </w:r>
      <w:r w:rsidR="00000000" w:rsidRPr="00000000" w:rsidDel="00000000">
        <w:rPr>
          <w:i w:val="1"/>
          <w:rtl w:val="0"/>
        </w:rPr>
        <w:t xml:space="preserve">Plug-in Hybrid Electric Vehicle</w:t>
      </w:r>
      <w:r w:rsidR="00000000" w:rsidRPr="00000000" w:rsidDel="00000000">
        <w:rPr>
          <w:rtl w:val="0"/>
        </w:rPr>
        <w:t xml:space="preserve">)) ir mazāk populāri Latvijā, tie pēc CSDD datiem uz 2025. gada 1. oktobri sasniedza 5 408 transportlīdzekli, jeb 0,7 % no visa Latvijas vieglo transportlīdzekļu parka.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Latvijā fiziskām personām - Latvijas Republikas pastāvīgajiem iedzīvotājiem atbalsts jaunu un lietotu bezemisiju transportlīdzekļu un mazemisiju iegādei vai nomai ar izpirkuma tiesībām tika sniegts Klimata pārmaiņu finanšu instrumenta (turpmāk - KPFI) un EKII atbalsta programmu ietvaros. Pirmais elektromobiļu skaita pieaugums bija novērojams 2014. gadā, kad KPFI ietvaros tika organizēts atklātais projektu iesniegumu konkurss “Siltumnīcefekta gāzu emisijas samazināšana transporta sektorā – atbalsts elektromobiļu un to uzlādes infrastruktūras ieviešanai”, kura ietvaros 93 projektos tika iegādāti 178 elektromobiļi ar kopējo KPFI līdzfinansējumu ~2,79 miljoni </w:t>
      </w:r>
      <w:r w:rsidR="00000000" w:rsidRPr="00000000" w:rsidDel="00000000">
        <w:rPr>
          <w:i w:val="1"/>
          <w:rtl w:val="0"/>
        </w:rPr>
        <w:t xml:space="preserve">euro</w:t>
      </w:r>
      <w:r w:rsidR="00000000" w:rsidRPr="00000000" w:rsidDel="00000000">
        <w:rPr>
          <w:rtl w:val="0"/>
        </w:rPr>
        <w:t xml:space="preserve">. Otrais būtiskākais elektromobiļu skaita pieaugums bija novērojams no 2022. gada sākuma līdz 2025. gada 31. decembrim, kad EKII ietvaros tika organizēts atklātais projektu iesniegumu konkurss "Siltumnīcefekta gāzu emisijas samazināšana transporta sektorā – atbalsts bezemisiju un mazemisiju transportlīdzekļu iegādei", kura ietvaros tika iegādāti 4750 elektromobiļi un 1717 ārēji lādējami hibrīdauto un 858 transportlīdzekļi tika nodoti apstrādes uzņēmumiem ar kopējo EKII finansējumu 30 miljoni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sasniegtu klimatneitralitātes mērķus ir svarīgi veikt dažādu pasākumu kopumu. Transporta sektora dekarbonizācija lielā mērā ir saistāma tieši ar tā elektrifikāciju, t.sk. kombinētiem (pārejas) risinājumiem tādiem kā papildu elektroenerģijas izmantošana vienlaikus ar fosilo degvielu izmantošanu. Pētījumos (piemēram, bet ne tikai – </w:t>
      </w:r>
      <w:r w:rsidR="00000000" w:rsidRPr="00000000" w:rsidDel="00000000">
        <w:rPr>
          <w:i w:val="1"/>
          <w:rtl w:val="0"/>
        </w:rPr>
        <w:t xml:space="preserve">Prati, M.V. et al. (2021). Emissions and energy consumption of a plug-in hybrid passenger car in Real Driving Emission (RDE) test. Transportation Engineering, Volume 4, June 2021; Veza, I. et al. (2023). Electric vehicle (EV) and driving towards sustainability: Comparison between EV, HEV, PHEV, and ICE vehicles to achieve net zero emissions by 2050 from EV. Alexandria Engineering Journal, Volume 82, 1 November 2023</w:t>
      </w:r>
      <w:r w:rsidR="00000000" w:rsidRPr="00000000" w:rsidDel="00000000">
        <w:rPr>
          <w:rtl w:val="0"/>
        </w:rPr>
        <w:t xml:space="preserve">) tiek uzsvērts, ka ārēji lādējami hibrīdauto uzrāda būtisku CO</w:t>
      </w:r>
      <w:r w:rsidR="00000000" w:rsidRPr="00000000" w:rsidDel="00000000">
        <w:rPr>
          <w:vertAlign w:val="subscript"/>
          <w:rtl w:val="0"/>
        </w:rPr>
        <w:t xml:space="preserve">2</w:t>
      </w:r>
      <w:r w:rsidR="00000000" w:rsidRPr="00000000" w:rsidDel="00000000">
        <w:rPr>
          <w:rtl w:val="0"/>
        </w:rPr>
        <w:t xml:space="preserve"> emisiju samazinājumu salīdzinājumā ar transportlīdzekļiem, kuri aprīkoti tikai ar iekšdedzes dzinējiem, kas padara tos atbilstošus noteiktajiem klimata politikas mērķiem, attiecīgi tiem ir potenciāls veicināt SEG emisiju samazinājumu transporta sektorā un kopējā SEG emisiju bilancē, t.i. pētījumi ir ļoti dažādi.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Revīzijas palātas 2024. gada pirmajā īpašajā ziņojumā “Vieglo automobiļu radīto oglekļa dioksīda emisiju samazināšana: temps beidzot paātrinās, taču ceļš nebūs tik gluds”: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ir skaidrots, ka iemesli būtiskajām atšķirībām starp atbilstības sertifikātos norādītajām un faktiski radītajām CO</w:t>
      </w:r>
      <w:r w:rsidR="00000000" w:rsidRPr="00000000" w:rsidDel="00000000">
        <w:rPr>
          <w:vertAlign w:val="subscript"/>
          <w:rtl w:val="0"/>
        </w:rPr>
        <w:t xml:space="preserve">2</w:t>
      </w:r>
      <w:r w:rsidR="00000000" w:rsidRPr="00000000" w:rsidDel="00000000">
        <w:rPr>
          <w:rtl w:val="0"/>
        </w:rPr>
        <w:t xml:space="preserve"> emisijām reālos braukšanas apstākļos ir saistāmi ar to, ka, lai gūtu pārliecību par CO</w:t>
      </w:r>
      <w:r w:rsidR="00000000" w:rsidRPr="00000000" w:rsidDel="00000000">
        <w:rPr>
          <w:vertAlign w:val="subscript"/>
          <w:rtl w:val="0"/>
        </w:rPr>
        <w:t xml:space="preserve">2</w:t>
      </w:r>
      <w:r w:rsidR="00000000" w:rsidRPr="00000000" w:rsidDel="00000000">
        <w:rPr>
          <w:rtl w:val="0"/>
        </w:rPr>
        <w:t xml:space="preserve"> vērtībām, ko ražotāji deklarējuši atbilstības sertifikātos, apstiprinātājām iestādēm ir jāpārbauda, vai ražotāji ir verificējuši CO</w:t>
      </w:r>
      <w:r w:rsidR="00000000" w:rsidRPr="00000000" w:rsidDel="00000000">
        <w:rPr>
          <w:vertAlign w:val="subscript"/>
          <w:rtl w:val="0"/>
        </w:rPr>
        <w:t xml:space="preserve">2</w:t>
      </w:r>
      <w:r w:rsidR="00000000" w:rsidRPr="00000000" w:rsidDel="00000000">
        <w:rPr>
          <w:rtl w:val="0"/>
        </w:rPr>
        <w:t xml:space="preserve"> emisijas obligātajam (uz katriem 5000 saražotajiem transportlīdzekļiem) ražoto transportlīdzekļu skaitam;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regulējuma vienādu piemērošanu un izplatītu paraugpraksi, Eiropas Komisijai reizi piecos gados jāveic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atsevišķās dalībvalstīs netika gūta pārliecība, vai apstiprinātās iestādes faktiski ir veikušas nepieciešamās pārbaudes atbilstoši normatīvajiem aktiem, tādējādi konstatējot trūkumus ES normatīvo aktu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ir tikušas identificētas arī citas nepilnības, kas skaidri norāda uz to, ka nav pietiekamas pārliecības, ka atbilstības sertifikātos iekļautās CO</w:t>
      </w:r>
      <w:r w:rsidR="00000000" w:rsidRPr="00000000" w:rsidDel="00000000">
        <w:rPr>
          <w:vertAlign w:val="subscript"/>
          <w:rtl w:val="0"/>
        </w:rPr>
        <w:t xml:space="preserve">2</w:t>
      </w:r>
      <w:r w:rsidR="00000000" w:rsidRPr="00000000" w:rsidDel="00000000">
        <w:rPr>
          <w:rtl w:val="0"/>
        </w:rPr>
        <w:t xml:space="preserve"> vērtības ir pareizas. Tādēļ primāri būtu nepieciešams vērst uzmanību uz to, lai tiktu novērstas neadekvātas neatbilstības attiecībā uz atšķirībām starp atbilstības sertifikātos norādītajām un faktiski radītajām CO</w:t>
      </w:r>
      <w:r w:rsidR="00000000" w:rsidRPr="00000000" w:rsidDel="00000000">
        <w:rPr>
          <w:vertAlign w:val="subscript"/>
          <w:rtl w:val="0"/>
        </w:rPr>
        <w:t xml:space="preserve">2</w:t>
      </w:r>
      <w:r w:rsidR="00000000" w:rsidRPr="00000000" w:rsidDel="00000000">
        <w:rPr>
          <w:rtl w:val="0"/>
        </w:rPr>
        <w:t xml:space="preserve"> emisijām reālos braukšanas apstākļos, un transportlīdzekļi, kuru radītās CO2 emisijas pārsniedz noteiktās robežvērtības, netiktu klasificēti kā zemu emisiju transportlīdzekļi, vienlaikus sniedzot patērētājiem korektu informāciju, kas potenciāli atstātu ietekmi uz to izvēli attiecībā uz transportlīdzekļa iegādi. Savukārt transportlīdzekļu ražotājus motivētu samazināt neatbilstības starp testētajām CO2 emisijām laboratorijas apstākļos un reālās braukšanas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ziņojumā ir norādīts, ka attiecībā uz ārēji lādējamiem hibrīdauto, CO</w:t>
      </w:r>
      <w:r w:rsidR="00000000" w:rsidRPr="00000000" w:rsidDel="00000000">
        <w:rPr>
          <w:vertAlign w:val="subscript"/>
          <w:rtl w:val="0"/>
        </w:rPr>
        <w:t xml:space="preserve">2</w:t>
      </w:r>
      <w:r w:rsidR="00000000" w:rsidRPr="00000000" w:rsidDel="00000000">
        <w:rPr>
          <w:rtl w:val="0"/>
        </w:rPr>
        <w:t xml:space="preserve"> emisijas bija augstākas kā laboratoriskos apstākļos izmērītās, tomēr no datiem var arī secināt, ka tie vidēji emitē mazāk CO2 nekā transportlīdzekļi, kuri aprīkoti tikai ar iekšdedzes dzinējiem, un iekšdedzes dzinējs biežāk kā prognozēts tiek izmantots tieši komersantiem piederošajos ārēji lādējamos hibrīdauto, kas varētu būt saistāms ar komersantu izsniegtajām degvielas kartēm, kā rezultātā darbiniekam par degvielu nav jāmaksā, tādēļ nav finansiāla stimula atkārtoti veikt transportlīdzekļa uzlādi.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iedzīvotāju izvēlei par labu ārēji lādējamu hibrīdauto iegādei var būt vairāki iemesli – individuālās vajadzības, braukšanas paradumi, transportlīdzekļa izmantošanas nolūks, vieta un diapazons, uzlādes infrastruktūras pieejamība (ne vien publiskā uzlādes infrastruktūra, bet arī tās pieejamību dzīvesvietās un darbavietās) un tās turpmākā attīstība Latvijā, tādēļ arguments, ka šiem transportlīdzekļiem biežāk kā prognozēts tiek izmantots iekšdedzes dzinējs, kas savukārt rada lielāku degvielas patēriņu un CO2 emisijas nav korekts. Vienlaikus, ārēji lādējamu hibrīdauto klāsts (modeļi) ir plašāks, it īpaši specifiskiem izmantošanas nolūkiem, un jaunu transportlīdzekļu, tostarp ārēji lādējamu hibrīdauto iegāde veicina Latvijas autoparka vidējā vecuma samazināšanos.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datu interpretāciju un argumentētus secinājumus būtu nepieciešams analizēt informāciju lokālā – Latvijas – līmenī, kā arī ņemt vērā braukšanas attālumu, degvielu emisiju faktorus, patērēto degvielas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Inovatīvu produktu un risinājumu ieviešana transportlīdzekļos, tajā skaitā ārēji lādējamu hibrīdauto ražošanā un izmantošanā, notiek strauji, līdz ar to situācija kāda tā bija pirms, piemēram, trīs līdz pieciem gadiem, kad ir veikti pētījumi, var krasi atšķirties uz 2026. gadā saražotajiem transportlīdzekļiem.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Atbalsts ārēji lādējamiem hibrīdauto tiek saglabāts kā risinājums, lai veicinātu tostarp gaisa kvalitātes uzlabošanu pilsētās un veicinātu iedzīvotājus pilnīgai pārejai uz elektromobiļu lietošanu ikdienā. Ārēji lādējamiem hibrīdauto kalpo kā būtisks starpposms lietotājiem bez privātas uzlādes infrastruktūras, mazinot bažas par nepietiekamo uzlādes staciju skaitu (piemēram, daudzdzīvokļu māju iekšpagalmos vai reģionos) un pakāpeniski veidojot elektromobiļu lietošanas paradumus. Kopumā, lai gan reālās emisijas ir atkarīgas no vadītāja rīcības, ārēji lādējamiem hibrīdauto atbalsts nodrošina iekļaujošu un elastīgu pāreju uz ilgtspējīgu transportu plašākai sabiedrības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2019. gada 17. aprīļa Regula (ES) 2019/631 par CO2 emisiju standartu noteikšanu jauniem vieglajiem pasažieru automobiļiem un jauniem vieglajiem komerciālajiem transportlīdzekļiem un ar kuru atceļ Regulu (EK) Nr. 443/2009 un Regulu (ES) Nr. 510/2011, nosaka oglekļa dioksīda (turpmāk - CO₂) emisiju standartu jauniem vieglajiem pasažieru auto un vieglajiem komerciālajiem auto, kur ir noteikts, ka bezemisiju un mazemisiju transportlīdzeklis ir vieglais pasažieru automobilis vai vieglais komerciālais transportlīdzeklis ar izpūtēja emisijām no nulles līdz 50 g CO</w:t>
      </w:r>
      <w:r w:rsidR="00000000" w:rsidRPr="00000000" w:rsidDel="00000000">
        <w:rPr>
          <w:vertAlign w:val="subscript"/>
          <w:rtl w:val="0"/>
        </w:rPr>
        <w:t xml:space="preserve">2</w:t>
      </w:r>
      <w:r w:rsidR="00000000" w:rsidRPr="00000000" w:rsidDel="00000000">
        <w:rPr>
          <w:rtl w:val="0"/>
        </w:rPr>
        <w:t xml:space="preserve">/km.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ārēji lādējamu hibrīdauto varēja iekļauties mazemisiju kategorijā (&lt;50 CO</w:t>
      </w:r>
      <w:r w:rsidR="00000000" w:rsidRPr="00000000" w:rsidDel="00000000">
        <w:rPr>
          <w:vertAlign w:val="subscript"/>
          <w:rtl w:val="0"/>
        </w:rPr>
        <w:t xml:space="preserve">2</w:t>
      </w:r>
      <w:r w:rsidR="00000000" w:rsidRPr="00000000" w:rsidDel="00000000">
        <w:rPr>
          <w:rtl w:val="0"/>
        </w:rPr>
        <w:t xml:space="preserve"> g/km), taču ar 2025. gada 1. jūliju stājās spēkā jaunie WLTP standarti, ko izmanto, lai noteiktu automašīnu: SEG emisijas, degvielas patēriņu, elektromobiļu un hibrīdautomobiļu darbības rādiusu, un piesārņojošo vielu emisijas. Pārrēķinot SEG emisijas atbilstoši jaunajam standartam, vairāki ārēji lādējamie hibrīdauto pārsniedz noteikto rādītāju un ir virs noteiktā 50 g CO</w:t>
      </w:r>
      <w:r w:rsidR="00000000" w:rsidRPr="00000000" w:rsidDel="00000000">
        <w:rPr>
          <w:vertAlign w:val="subscript"/>
          <w:rtl w:val="0"/>
        </w:rPr>
        <w:t xml:space="preserve">2</w:t>
      </w:r>
      <w:r w:rsidR="00000000" w:rsidRPr="00000000" w:rsidDel="00000000">
        <w:rPr>
          <w:rtl w:val="0"/>
        </w:rPr>
        <w:t xml:space="preserve">/km sliekšņa.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autorizēto auto tirgotāju aptauju, tika noskaidrots, ka ievērojot jaunos WLTP standartus, Latvijā joprojām ir pieejami ārēji lādējamie hibrīdauto, kuru SEG emisijas ir zem 50 g CO</w:t>
      </w:r>
      <w:r w:rsidR="00000000" w:rsidRPr="00000000" w:rsidDel="00000000">
        <w:rPr>
          <w:vertAlign w:val="subscript"/>
          <w:rtl w:val="0"/>
        </w:rPr>
        <w:t xml:space="preserve">2</w:t>
      </w:r>
      <w:r w:rsidR="00000000" w:rsidRPr="00000000" w:rsidDel="00000000">
        <w:rPr>
          <w:rtl w:val="0"/>
        </w:rPr>
        <w:t xml:space="preserve">/km.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(turpmāk - MK) noteikumu projektā ir noteikts vienāds atbalsta apmērs gan jaunā elektromobiļa, gan jaunā ārēji lādējamā hibrīdauto iegādei, ar ko tiek sasniegts mērķis - mazināt kopējās emisijas un veicināt Latvijas autoparka vecuma mazināšanos. Vienāds atbalsta apmērs nav vērtējams kā ārēji lādējamā hibrīdauto un elektromobiļa tehnoloģiskā ekvivalence, bet gan kā finansiālais instruments ātrākai autoparka dekarbonizācijai, aptverot pēc iespējas lielāku lietotāju skaitu pašreizējos infrastruktūras attīstības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līdzšinējo pieredzi atbalsta programmā “Siltumnīcefekta gāzu emisijas samazināšana transporta sektorā – atbalsts bezemisiju un mazemisiju transportlīdzekļu iegādei” var secināt, ka ārēji lādējamie hibrīdauto ir dārgāki nekā jauni elektromobiļi: attiecīgi 35 993 EUR (bez PVN; bāzes komplektācija) un 40 022 EUR (bez PVN; bāzes komplektācija).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tehnoloģiju neitralitāti un veicinātu inovatīvu tehnoloģiju un risinājumu ieviešanu, t.i. sniegtu atbalstu dažāda veida bezemisiju transportlīdzekļiem t.sk. ūdeņraža automobiļiem, atbalsta programmas ietvaros kā atbalstāmā transportlīdzekļa grupa ir ietverta arī ūdeņraža vieglie transportlīdzekļi. Ūdeņraža vieglie automobiļi Eiropā šobrīd vēl ir nišas tehnoloģija, nevis plaši izplatīts transporta veids. To skaits ir neliels salīdzinājumā ar elektromobiļiem un klasiskajiem iekšdedzes auto. Taču autoražotāju investīcijas jaunās tehnoloģijās un valdību politikas arvien vairāk liecina par minētā sektora attīstības tendencēm. Galvenie ūdeņraža automobiļu modeļi pasaulē un Eiropā ietver tādus kā Toyota Mirai un Hyundai Nexo, kuri demonstrē labu nobraukumu un tehnisko pieejamību, un šīs tehnoloģijas nākotnes izaugsme tiek prognozēta ar būtisku gada pieauguma tempu uz 2030. gadu. Šādu transportlīdzekļu cena vispārīgā līmenī ir augstāka nekā iekšdedzes dzinēja auto un pat dažiem elektromobiļu modeļiem, taču nozares mērķis ir, ka automobiļu ražošana, tirgus plašums un ražošanas izmaksu samazināšanās padarīs šos automobiļus arvien konkurētspējīgākus. Ņemot vērā Eiropas dekarbonizācijas ambīcijas, ūdeņraža tehnoloģiju plašāku ražošana un izmantošanu, kā arī to pielietojums ir iekļauts ilgtspējīgas transporta politikas stratēģijās, lai veicinātu enerģētisko neatkarību un zaļāku transportu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Auto ražotāju asociācijas datiem ES ir mazāk nekā 350 ūdeņraža uzpildes stacijas, taču pēdējo 5 gadu laikā attīstība notiek arvien straujāk.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šobrīd situācija ar ūdeņraža uzpildes stacijām ir ļoti ierobežota un ir tikai viena publiski pieejama ūdeņraža uzpildes stacija. Vienlaikus ir zināms, ka ūdeņraža uzpildes tīkls attīstīsies, piemēram, Liepājas Speciālās ekonomiskās zonas teritorijā līdz 2030. gadam plānots izbūvēt vienu no lielākajām un attīstītākajām zaļā ūdeņraža ražotnēm Ziemeļeiropā, investējot vairāk nekā 550 miljonu </w:t>
      </w:r>
      <w:r w:rsidR="00000000" w:rsidRPr="00000000" w:rsidDel="00000000">
        <w:rPr>
          <w:i w:val="1"/>
          <w:rtl w:val="0"/>
        </w:rPr>
        <w:t xml:space="preserve">euro</w:t>
      </w:r>
      <w:r w:rsidR="00000000" w:rsidRPr="00000000" w:rsidDel="00000000">
        <w:rPr>
          <w:rtl w:val="0"/>
        </w:rPr>
        <w:t xml:space="preserve"> un radot vismaz 100 jaunu darba vietu. Plānots, ka rūpnīca gadā ražos aptuveni 150 000 tonnu zaļā ūdeņraža.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Ūdeņraža automobiļu plašākas izmantošanas veicināšana ir jāvērtē kontekstā ar Eiropas Parlamenta un Padomes 2023. gada 13. septembra Regulu (ES) 2023/1804 par alternatīvo degvielu infrastruktūras ieviešanu un ar ko atceļ Direktīvu 2014/94/ES, t.i. MK noteikumu projektā piedāvātā iespēja ūdeņraža automobiļiem ir jāvērtē kā iespēja Latvijā veicināt inovatīvas tehnoloģijas, kurām šobrīd nav komerciāla tirgus.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atbalsts elektromobiļu lietotājiem tiek nodrošināts un ir virkne priekšrocību: bez maksas ir pirmreizējā elektromobiļa reģistrācija un pirmreizējo numurzīmju izsniegšana, auto novietošana Liepājā un Rīgā Rīgas pašvaldības sabiedrības ar ierobežotu atbildību “Rīgas satiksmes” stāvvietās, iebraukšana Jūrmalā, kā arī nav jāmaksā ikgadējais transportlīdzekļa ekspluatācijas nodoklis. Tāpat ir atļauts braukt pa sabiedriskajam transportam paredzēto joslu. Sākot ar 2022. gada 1. oktobri, AS “Sadeles tīkls” piedāvā iespēju pieteikties dalībai publiski pieejamu elektrotransporta uzlādes pieslēgumu ierīkošanas projektā. Projekts tiek īstenots ar ES Atveseļošanas fonda atbalstu “Atbilstošu tehnisko parametru sadales pieslēgumu izveide AER izmantošanas veicināšanai”, tam atvēlot kopumā 6,5 miljonus </w:t>
      </w:r>
      <w:r w:rsidR="00000000" w:rsidRPr="00000000" w:rsidDel="00000000">
        <w:rPr>
          <w:i w:val="1"/>
          <w:rtl w:val="0"/>
        </w:rPr>
        <w:t xml:space="preserve">euro</w:t>
      </w:r>
      <w:r w:rsidR="00000000" w:rsidRPr="00000000" w:rsidDel="00000000">
        <w:rPr>
          <w:rtl w:val="0"/>
        </w:rPr>
        <w:t xml:space="preserve">. AS “Sadales tīkls” īsteno sadales sistēmas investīciju projektu elektrotransporta infrastruktūras pieslēgumu izbūvei vai pārbūvei, kas ļaus klientiem ierīkot publiski pieejamas elektrotransporta uzlādes stacijas. Projekta ietvaros 2024. gada jūlijā ir izbūvēti 24 elektromobiļu uzlādes pieslēgumpunkti sešās adresēs Ventspils pilsētā. 2025. gada aprīlī izbūvēti 15 elektromobiļu uzlādes pieslēgumpunkti četrās adresēs Madonas un Limbažu novados. 300 elektromobiļu pieslēgumpunktiem 93 adresēs Liepājas, Jelgavas un Rīgas pilsētā, kā arī Ropažu, Olaines, Talsu, Saulkrastu novados, veikta pieslēgumu ierīkošana un šobrīd notiek nodošana ekspluatācijā. 370 pieslēgumpunktiem notiek būvprojektēšana un būvdarbi 132 adresēs. Aktīvākā sadales elektrotīkla pieslēgumu izbūve noritēs līdz 2026. gada 30. aprīlim un tiks izbūvēti ap 700 pieslēgumpunktiem. Tādējādi kopā ar elektromobiļu uzlādes operatoriem Latvenergo, Ignitis, Enefit un Eleport par aptuveni 230 adresēm tiks paplašināts elektromobiļu uzlādes punktu skaits. AS “Sadales tīkls” projekta ietvaros plāno nomainīt ap 80 transformatoriem, pie kuriem ir vairāk kā 240 mikroģeneratoru pieslēgumpunkti. To nomaiņa ļaus samazināt sprieguma svārstības šajos elektrotīklos, tādējādi samazinot brīžus, kad dēļ paaugstināta sprieguma atslēdzās invertori un tiek pārtraukta elektroenerģijas ražošana. Pašreiz notiek nepieciešamās dokumentācijas sagatavošana, lai uzsāktu būvdarbu iepirkumus.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2024. gada beigām Latvijā darbojās vairāk nekā 1000 elektromobiļu uzlādes punkti, kas ir apmēram 75% pieaugums viena gada laikā. Tīkls tiek attīstīts ne tikai Rīgā, bet arī citās pilsētās un reģionos, piemēram, Cēsīs, Daugavpilī, Saldū, Alūksnē un Rēzeknē.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Auto ražotāju asociācijas datiem Latvijā ir 0,9 publiskās uzlādes punkti uz 1000 iedzīvotājiem (Lietuvā - 1,5; Igaunijā - 1,3). Tāpat viens uzlādes punkts ir pieejams 5,4 elektromobiļiem (ES vidēji - 5; Lietuvā - 3,7; Igaunijā - 5,5). Vidējā uzlādes cena ir 0,54 EUR/kWh (Lietuvā - 0,58 EUR/kWh; Igaunijā - 0,43 EUR/kWh).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dažādu valstu publiski pieejamās iniciatīvas un datus, kā arī Eiropas Auto ražotāju asociācijas 2025. gada 3. aprīļa ziņojumu “Elektriskie transportlīdzekļi: nodokļu ieguvumi un iegādes stimuli" (https://www.acea.auto/fact/electric-cars-tax-benefits-and-incentives-2025/) ir jāsecina, ka ES dalībvalstīs un Apvienotajā Karalistē pastāv (vai pēdējos gados pastāvēja) dažādas atbalsta sistēmas bezemisiju un mazemisiju transportlīdzekļu iegādei. Atbalsta apjomi ir atkarīgi no dažādiem kritērijiem, piemēram, transportlīdzekļu veidiem, atbalsta saņēmēju loka, kā arī transportlīdzekļu cenām. ES jauniem elektromobiļiem atbalsts ir ļoti dažāds (atbalsta lielums svārstās no 1500</w:t>
      </w:r>
      <w:r w:rsidR="00000000" w:rsidRPr="00000000" w:rsidDel="00000000">
        <w:rPr>
          <w:i w:val="1"/>
          <w:rtl w:val="0"/>
        </w:rPr>
        <w:t xml:space="preserve"> euro</w:t>
      </w:r>
      <w:r w:rsidR="00000000" w:rsidRPr="00000000" w:rsidDel="00000000">
        <w:rPr>
          <w:rtl w:val="0"/>
        </w:rPr>
        <w:t xml:space="preserve"> Ungārijā līdz pat 20 000 </w:t>
      </w:r>
      <w:r w:rsidR="00000000" w:rsidRPr="00000000" w:rsidDel="00000000">
        <w:rPr>
          <w:i w:val="1"/>
          <w:rtl w:val="0"/>
        </w:rPr>
        <w:t xml:space="preserve">euro</w:t>
      </w:r>
      <w:r w:rsidR="00000000" w:rsidRPr="00000000" w:rsidDel="00000000">
        <w:rPr>
          <w:rtl w:val="0"/>
        </w:rPr>
        <w:t xml:space="preserve"> Kiprā). Atbalsts tiek sniegts arī ārēji lādējamiem hibrīdauto (četrās 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transportlīdzekļa iegādes atbalstam ES dalībvalstīs pastāv arī dažādi nodokļu atbrīvojumi, atvieglojumi elektromobiļu uzlādes punktu infrastruktūras izveidei (piemēram, Somija) vai transportlīdzekļa norakstīšanas bonuss (piemēram, Lietuva, Rumānija, Francija, Grieķija, Spānija).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Līdzšinējā pieredze EKII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EKII līdzfinansējumu īstenoto aktivitāšu rādītāji uz 2025. gada 31. decembri</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31"/>
        <w:gridCol w:w="1431"/>
        <w:gridCol w:w="1431"/>
        <w:gridCol w:w="1918"/>
        <w:gridCol w:w="3476"/>
        <w:gridCol w:w="2772"/>
        <w:tblGridChange w:id="0">
          <w:tblGrid>
            <w:gridCol w:w="1431"/>
            <w:gridCol w:w="1431"/>
            <w:gridCol w:w="1431"/>
            <w:gridCol w:w="1918"/>
            <w:gridCol w:w="3476"/>
            <w:gridCol w:w="277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Atbalstāmā aktivitāte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Konkursa ietvaros iegādāto transportlīdzekļu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EKII finansējums,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Vidējā cena bāzes komplektācijā (ar PVN),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Indikatīvais CO</w:t>
            </w:r>
            <w:r w:rsidR="00000000" w:rsidRPr="00000000" w:rsidDel="00000000">
              <w:rPr>
                <w:sz w:val="24"/>
                <w:b w:val="1"/>
                <w:vertAlign w:val="subscript"/>
                <w:rtl w:val="0"/>
              </w:rPr>
              <w:t xml:space="preserve">2 </w:t>
            </w:r>
            <w:r w:rsidR="00000000" w:rsidRPr="00000000" w:rsidDel="00000000">
              <w:rPr>
                <w:sz w:val="24"/>
                <w:b w:val="1"/>
                <w:rtl w:val="0"/>
              </w:rPr>
              <w:t xml:space="preserve">emisijas samazinājums apstiprinātajos projektos, kg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Efektivitātes rādītājs, kgCO</w:t>
            </w:r>
            <w:r w:rsidR="00000000" w:rsidRPr="00000000" w:rsidDel="00000000">
              <w:rPr>
                <w:sz w:val="24"/>
                <w:b w:val="1"/>
                <w:vertAlign w:val="subscript"/>
                <w:rtl w:val="0"/>
              </w:rPr>
              <w:t xml:space="preserve">2</w:t>
            </w:r>
            <w:r w:rsidR="00000000" w:rsidRPr="00000000" w:rsidDel="00000000">
              <w:rPr>
                <w:sz w:val="24"/>
                <w:b w:val="1"/>
                <w:rtl w:val="0"/>
              </w:rPr>
              <w:t xml:space="preserve">/EUR (EUR/tCO</w:t>
            </w:r>
            <w:r w:rsidR="00000000" w:rsidRPr="00000000" w:rsidDel="00000000">
              <w:rPr>
                <w:sz w:val="24"/>
                <w:b w:val="1"/>
                <w:vertAlign w:val="subscript"/>
                <w:rtl w:val="0"/>
              </w:rPr>
              <w:t xml:space="preserve">2</w:t>
            </w:r>
            <w:r w:rsidR="00000000" w:rsidRPr="00000000" w:rsidDel="00000000">
              <w:rPr>
                <w:sz w:val="24"/>
                <w:b w:val="1"/>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Jaunu elektromobiļu iegāde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2 348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11 274 750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43 552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15 872 480</w:t>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1,41 (710)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Lietotu elektromobiļu iegāde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2 402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8 735 500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26 386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16 237 520</w:t>
            </w:r>
            <w:r w:rsidR="00000000" w:rsidRPr="00000000" w:rsidDel="00000000">
              <w:rPr>
                <w:sz w:val="24"/>
                <w:vertAlign w:val="superscript"/>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1,86 (538)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Jaunu ārēji lādējamu hibrīdauto iegāde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1 717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8 345 250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48 427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7 142 720</w:t>
            </w:r>
            <w:r w:rsidR="00000000" w:rsidRPr="00000000" w:rsidDel="00000000">
              <w:rPr>
                <w:sz w:val="24"/>
                <w:vertAlign w:val="superscript"/>
                <w:rtl w:val="0"/>
              </w:rPr>
              <w:t xml:space="preserve">2)</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0,86 (1168)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 Indikatīvo CO</w:t>
      </w:r>
      <w:r w:rsidR="00000000" w:rsidRPr="00000000" w:rsidDel="00000000">
        <w:rPr>
          <w:vertAlign w:val="subscript"/>
          <w:rtl w:val="0"/>
        </w:rPr>
        <w:t xml:space="preserve">2</w:t>
      </w:r>
      <w:r w:rsidR="00000000" w:rsidRPr="00000000" w:rsidDel="00000000">
        <w:rPr>
          <w:rtl w:val="0"/>
        </w:rPr>
        <w:t xml:space="preserve"> emisijas samazinājumu elektromobilim aprēķina pēc šādas formulas: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w:t>
      </w:r>
      <w:r w:rsidR="00000000" w:rsidRPr="00000000" w:rsidDel="00000000">
        <w:rPr>
          <w:rtl w:val="0"/>
        </w:rPr>
        <w:t xml:space="preserve">=Nobraukums × 0,130,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2 </w:t>
      </w:r>
      <w:r w:rsidR="00000000" w:rsidRPr="00000000" w:rsidDel="00000000">
        <w:rPr>
          <w:rtl w:val="0"/>
        </w:rPr>
        <w:t xml:space="preserve">– oglekļa dioksīda emisijas samazinājums projektā, 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Nobraukums – elektromobiļa nobrauktais kilometru skaits projektā (52 000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0,130 kg CO</w:t>
      </w:r>
      <w:r w:rsidR="00000000" w:rsidRPr="00000000" w:rsidDel="00000000">
        <w:rPr>
          <w:vertAlign w:val="subscript"/>
          <w:rtl w:val="0"/>
        </w:rPr>
        <w:t xml:space="preserve">2</w:t>
      </w:r>
      <w:r w:rsidR="00000000" w:rsidRPr="00000000" w:rsidDel="00000000">
        <w:rPr>
          <w:rtl w:val="0"/>
        </w:rPr>
        <w:t xml:space="preserve">/km – maksimāli pieļaujamās SEG emisijas jaunajām mašīnām ES 2015. gadā, kg CO</w:t>
      </w:r>
      <w:r w:rsidR="00000000" w:rsidRPr="00000000" w:rsidDel="00000000">
        <w:rPr>
          <w:vertAlign w:val="subscript"/>
          <w:rtl w:val="0"/>
        </w:rPr>
        <w:t xml:space="preserve">2</w:t>
      </w:r>
      <w:r w:rsidR="00000000" w:rsidRPr="00000000" w:rsidDel="00000000">
        <w:rPr>
          <w:rtl w:val="0"/>
        </w:rPr>
        <w:t xml:space="preserve">/km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 </w:t>
      </w:r>
      <w:r w:rsidR="00000000" w:rsidRPr="00000000" w:rsidDel="00000000">
        <w:rPr>
          <w:rtl w:val="0"/>
        </w:rPr>
        <w:t xml:space="preserve">Indikatīvo CO</w:t>
      </w:r>
      <w:r w:rsidR="00000000" w:rsidRPr="00000000" w:rsidDel="00000000">
        <w:rPr>
          <w:vertAlign w:val="subscript"/>
          <w:rtl w:val="0"/>
        </w:rPr>
        <w:t xml:space="preserve">2</w:t>
      </w:r>
      <w:r w:rsidR="00000000" w:rsidRPr="00000000" w:rsidDel="00000000">
        <w:rPr>
          <w:rtl w:val="0"/>
        </w:rPr>
        <w:t xml:space="preserve"> emisijas samazinājumu ārēji lādējamam hibrīdauto aprēķina pēc šādas formulas: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w:t>
      </w:r>
      <w:r w:rsidR="00000000" w:rsidRPr="00000000" w:rsidDel="00000000">
        <w:rPr>
          <w:rtl w:val="0"/>
        </w:rPr>
        <w:t xml:space="preserve">=Nobraukums × (0,130 - 0,050),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w:t>
      </w:r>
      <w:r w:rsidR="00000000" w:rsidRPr="00000000" w:rsidDel="00000000">
        <w:rPr>
          <w:vertAlign w:val="subscript"/>
          <w:rtl w:val="0"/>
        </w:rPr>
        <w:t xml:space="preserve">2 </w:t>
      </w:r>
      <w:r w:rsidR="00000000" w:rsidRPr="00000000" w:rsidDel="00000000">
        <w:rPr>
          <w:rtl w:val="0"/>
        </w:rPr>
        <w:t xml:space="preserve">– oglekļa dioksīda emisijas samazinājums projektā, kg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Nobraukums – ārēji lādējama hibrīdauto nobrauktais kilometru skaits projektā (52 000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0,130 kg CO</w:t>
      </w:r>
      <w:r w:rsidR="00000000" w:rsidRPr="00000000" w:rsidDel="00000000">
        <w:rPr>
          <w:vertAlign w:val="subscript"/>
          <w:rtl w:val="0"/>
        </w:rPr>
        <w:t xml:space="preserve">2</w:t>
      </w:r>
      <w:r w:rsidR="00000000" w:rsidRPr="00000000" w:rsidDel="00000000">
        <w:rPr>
          <w:rtl w:val="0"/>
        </w:rPr>
        <w:t xml:space="preserve">/km – maksimāli pieļaujamās SEG emisijas jaunajām mašīnām ES 2015. gadā, kg CO</w:t>
      </w:r>
      <w:r w:rsidR="00000000" w:rsidRPr="00000000" w:rsidDel="00000000">
        <w:rPr>
          <w:vertAlign w:val="subscript"/>
          <w:rtl w:val="0"/>
        </w:rPr>
        <w:t xml:space="preserve">2</w:t>
      </w:r>
      <w:r w:rsidR="00000000" w:rsidRPr="00000000" w:rsidDel="00000000">
        <w:rPr>
          <w:rtl w:val="0"/>
        </w:rPr>
        <w:t xml:space="preserve">/km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0,050 kg CO</w:t>
      </w:r>
      <w:r w:rsidR="00000000" w:rsidRPr="00000000" w:rsidDel="00000000">
        <w:rPr>
          <w:vertAlign w:val="subscript"/>
          <w:rtl w:val="0"/>
        </w:rPr>
        <w:t xml:space="preserve">2</w:t>
      </w:r>
      <w:r w:rsidR="00000000" w:rsidRPr="00000000" w:rsidDel="00000000">
        <w:rPr>
          <w:rtl w:val="0"/>
        </w:rPr>
        <w:t xml:space="preserve">/km – maksimāli pieļaujamās SEG emisijas ārēji lādējamam hibrīdauto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Projektos izvēlētie finansēšanas risinājumi uz 2025. gada 31. decembri</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62"/>
        <w:gridCol w:w="3086"/>
        <w:gridCol w:w="2941"/>
        <w:tblGridChange w:id="0">
          <w:tblGrid>
            <w:gridCol w:w="3162"/>
            <w:gridCol w:w="3086"/>
            <w:gridCol w:w="294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Finanšu avots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Konkursa ietvaros iegādāto transportlīdzekļu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Vidējā transportlīdzekļa bāzes komplektācijas cena (bez PVN un papildus aprīkojuma), nepiemērojot EKII atbalstu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Finanšu līzings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1912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30667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Operatīvais līzings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37240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Cits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27631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atbalsta saņēmēji bija fiziskas personas - Latvijas Republikas pastāvīgie iedzīvotāji. Kopš 2024. gada 19. jūlija papildu atbalsts tika sniegts daudzbērnu ģimenēm, kuru aprūpē ir trīs un vairāk bērni vecumā līdz 18 gadiem vai pilngadīgas personas, kuras nav sasniegušas 24 gadu vecumu, ja tās iegūst vispārējo, profesionālo vai augstāko izglītību vai 11 mēnešus pilda valsts aizsardzības dienestu un, kurām ir izsniegta Latvijas Goda ģimenes apliecība. Vienlaikus Latvijas Goda ģimenes apliecības priekšrocības tiek piemērotas arī ģimenēm, kuras aprūpē bērnu ar invaliditāti vai pilngadīgu personu, kura nav sasniegusi 24 gadu vecumu un kurai noteikta I vai II grupas invaliditāte, kas savukārt iepriekš netika iekļauta kā mērķgrupa konkursa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Atbalsts Latvijas Goda ģimenes apliecības personām uz 2025. gada 31. decembri</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68"/>
        <w:gridCol w:w="2310"/>
        <w:gridCol w:w="2243"/>
        <w:gridCol w:w="2118"/>
        <w:tblGridChange w:id="0">
          <w:tblGrid>
            <w:gridCol w:w="2368"/>
            <w:gridCol w:w="2310"/>
            <w:gridCol w:w="2243"/>
            <w:gridCol w:w="211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Aktivitāte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kopā, t.sk.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 vai 6 sēdvietas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7 vai vairāk sēdvietas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Jauni elektromobiļi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Lietoti elektromobiļi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Ārēji lādējami hibrīdauto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Transportlīdzekļa norakstīšana</w:t>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284</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elektromobiļu un ārēji lādējamu transportlīdzekļu pārdošanas bāzes cenu, uz 2025. gada 31. decembri, dati ir atspoguļoti zemāk esošajā tabulā: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center"/>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491"/>
        <w:gridCol w:w="9491"/>
        <w:gridCol w:w="9491"/>
        <w:gridCol w:w="9491"/>
        <w:gridCol w:w="9491"/>
        <w:gridCol w:w="9491"/>
        <w:gridCol w:w="9491"/>
        <w:tblGridChange w:id="0">
          <w:tblGrid>
            <w:gridCol w:w="9491"/>
            <w:gridCol w:w="9491"/>
            <w:gridCol w:w="9491"/>
            <w:gridCol w:w="9491"/>
            <w:gridCol w:w="9491"/>
            <w:gridCol w:w="9491"/>
            <w:gridCol w:w="9491"/>
          </w:tblGrid>
        </w:tblGridChange>
      </w:tblGrid>
      <w:tr>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Transportlīdzekļa cena bāzes komplektācijā (skaits)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līdz 20 tūkst.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20-līdz 30 tūkst.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30-līdz 40 tūkst.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40-līdz 50 tūkst.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50-līdz 60 tūkst.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60-līdz 75 tūkst. EUR</w:t>
            </w:r>
          </w:p>
        </w:tc>
      </w:tr>
      <w:tr>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Jauni elektromobiļi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līdz 4 sēdvietām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 vai 6 sēdvietas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 vai vairāk sēdvietas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r>
      <w:tr>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Lietoti elektromobiļi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līdz 4 sēdvietām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 vai 6 sēdvietas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 vai vairāk sēdvietas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r>
      <w:tr>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Ārēji lādējami hibrīdauto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īdz 4 sēdvietām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 vai 6 sēdvietas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 vai vairāk sēdvietas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w:t>
            </w:r>
          </w:p>
        </w:tc>
      </w:tr>
    </w:tbl>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transporta sektoram nav noteikts atsevišķs SEG emisiju samazināšanas mērķis. Latvijai ir noteikts mērķis samazināt SEG emisijas emisijas tirdzniecības sistēmas neietverto darbību (turpmāk - ne-ETS) sektorā, ieskaitot transporta sektoru, par 17% līdz 2030. gadam salīdzinājumā ar 2005. gadu. Visām ES valstīm ar ES tiesību aktu ir noteikti individuāli ikgadēji sasniedzamie SEG emisijas samazinājumi. Tādēļ ir jānodrošina papildu pasākumu plānošana un ieviešana, t.sk. transporta sektorā. Kaut arī transporta sektora dekarbonizācija nav sasniedzama ar vienu risinājumu, kopumā nākotnē transporta sektora dekarbonizācija lielā mērā būs saistīta tieši ar tā elektrifikāciju.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nepieciešams nodrošināt taisnīgu un iekļaujošu pārkārtošanos uz videi draudzīgāku transportu, sniedzot atbalstu bezemisiju  un mazemisiju transportlīdzekļu iegāde iedzīvotājiem. Ņemot vērā, ka ETS2 ietekmes rezultātā izmaksas par personīgā transportlīdzekļa izmantošanu, ja tajā kā degviela tiek izmantots benzīns vai dīzeļdegviela, paaugstināsies, tam ir būtiski negatīva ietekme uz transporta lietotājiem, tādēļ ir svarīgi nodrošināt alternatīvas iespējas, lai neierobežotu transporta lietotāju mobilitātes iespējas un neierobežotu sociālo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programma “Siltumnīcefekta gāzu emisijas samazināšana transporta sektorā – atbalsts bezemisiju un mazemisiju transportlīdzekļu iegādei” ir noslēgusies 2025. gadā un tās ietvaros piemērotie nosacījumi bija saistoši tikai attiecīgā projektu konkursa ietvaros. Savukārt MK noteikumu projekts nosaka jaunus atbalsta programmas nosacījumus un nav paredzēts kā mehānisms iepriekšējā projektu konkursa ietvaros neapstiprināto projektu iesniegumu vai iegādāto transportlīdzekļu kompensēšanai. Atbalsta piešķiršana transportlīdzekļiem, kas iegādāti ārpus projektu konkursa noteiktā atbalsta piešķiršanas mehānisma, neatbilst vienlīdzīgas attieksmes principam pret citiem potenciālajiem atbalsta saņēmējiem, proti atbalsta programmām nav atpakaļejoša spēka, tāpēc pirkumi, kas veikti periodā, kad atbalsta programma nav spēkā, netiks atbalstīti MK noteikumu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konkurss ir nepieciešams, lai nodrošinātu NEKP 3.1.1.7. un 3.1.1.11. pasākumu ieviešanu, kā arī Smalko daļiņu, amonjaka, slāpekļa oksīdu, gaistošo organisko savienojumu un sēra dioksīda emisiju samazināšanas plāna 2026. ‒ 2030. gadam M.4.2. pasākuma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konkursa ietvaros ir paredzēts sniegt atbalstu tādu projektu īstenošanai, kas nodrošina CO</w:t>
      </w:r>
      <w:r w:rsidR="00000000" w:rsidRPr="00000000" w:rsidDel="00000000">
        <w:rPr>
          <w:vertAlign w:val="subscript"/>
          <w:rtl w:val="0"/>
        </w:rPr>
        <w:t xml:space="preserve">2</w:t>
      </w:r>
      <w:r w:rsidR="00000000" w:rsidRPr="00000000" w:rsidDel="00000000">
        <w:rPr>
          <w:rtl w:val="0"/>
        </w:rPr>
        <w:t xml:space="preserve"> emisijas samazināšanu transporta sektorā.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ka projekta iesniedzējs – projekta īstenotājs ir komersants, bet atbalsta saņēmējs – fiziska persona, kura projekta ietvaros varēs iegādāties vienu vai vairākus transportlīdzekļus (jaunu vai lietotu rūpnieciski ražotu M1 un N1 kategorijas elektromobili, jaunu vai lietotu rūpnieciski ražotu M1 un N1 kategorijas ūdeņraža automobiļi vai jaunu rūpnieciski ražotu M1 un N1 kategorijas ārēji lādējamu hibrīdauto) mājsaimniecības locekļu mobilitātes nodrošināšanai. Visi projektu iesniedzēji, kas noslēgs līgumus par projektu īstenošanu ar sabiedrību ar ierobežotu atbildību “Vides investīciju fonds” (turpmāk – Vides investīciju fonds) būs tiesīgi saņemt atbalstu par noteikumu projekta ietvaros atbilstošo mazemisijas un bezemisijas transportlīdzekļu pārdošanu brīvas konkurences ietvaros, proti, nevienam projekta iesniedzējam netiks noteikts konkrēts pieejamā finansējuma vai pārdodamo transportlīdzekļu apjoms.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demarkāciju ar Sociālā klimata fonda plāna ietvaros identificēto projektu konkursu "Atbalsts bezemisiju transportlīdzekļu iegādei mazaizsargātiem transporta lietotājiem" un citiem finanšu avotiem. Dubultās finansēšanas risku novēršana tiks nodrošināta atbalsta programmu vai projektu līmenī, tajā skaitā pārbaudot Kohēzijas politikas fondu vadības informācijas sistēmu un pārliecinoties, ka vienas un tās pašas atbalstāmās aktivitātes un attiecināmās izmaksas par vieniem un tiem pašiem M1 un N1 kategorijas mazemisiju un bezemisiju transportlīdzekļiem netiks finansētas dubultā.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Klimata un enerģētikas ministrijai (turpmāk - KEM) nav resursu attiecīgā projektu konkursa organizēšanā, atbilstoši Klimatnoturības un ekonomiskās ilgtspējas likuma 15. panta piektajai daļai un noteikumu projekta 3. punktā noteiktajam, ministrija ar līgumu deleģē pienākumu organizēt projektu iesniegumu konkursu, pieņemt un izvērtēt projektu iesniegumus, pieņemt lēmumus par finanšu instrumenta finansējuma piešķiršanu vai par atteikumu to piešķirt, sagatavot, noslēgt, grozīt vai izbeigt līgumus par projektu īstenošanu, uzraudzīt projektu īstenošanu un līgumu par projektu īstenošanu izpildi, pārbaudīt projektu īstenotāju iesniegtos pārskatus par projektu īstenošanas progresu un projektu rezultātu monitoringu un iesniegt ministrijai apkopotu informāciju, kā arī atgūt projektiem piešķirto neattiecināmo finanšu instrumenta finansējumu. Iepriekš minēto uzdevumu izpildi nodrošinās Vides investīciju fonds. Vērtējot atbilstību Valsts pārvaldes iekārtas likuma 42. panta pirmajā daļā noteiktajiem kritērijiem valsts pārvaldes uzdevuma deleģēšanai privātpersonai, jāmin, ka Vides investīciju fonds jau līdz šim guvis ievērojamu pieredzi KPFI, EKII un Modernizācijas fonda un to ietvaros īstenoto projektu konkursu (KPFI – 16 projektu konkursi, atsevišķi no tiem vairākās kārtās; EKII – deviņi projektu konkursi, divi no tiem divās kārtās; Modernizācijas fonds - divi projektu konkursi) ieviešanā, tādējādi Vides investīciju fonda personāla kvalifikācija un līdzšinējā pieredze attiecīgo finanšu instrumentu ieviešanā, kā arī to specifikas un KEM pieejas pārzināšana spēj nodrošināt efektīvu deleģēto uzdevumu izpildi. Attiecībā uz minēto pārvaldes uzdevumu izpildi Vides investīciju fonds būs ministrijas pārraudzībā.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I. nodaļa</w:t>
      </w:r>
      <w:r w:rsidR="00000000" w:rsidRPr="00000000" w:rsidDel="00000000">
        <w:rPr>
          <w:rtl w:val="0"/>
        </w:rPr>
        <w:t xml:space="preserve"> nosaka projektu konkursa vispārīgos jautājumus, tostarp, konkursa mērķi, projektu iesniedzējus un atbalsta saņēmējus, konkursa ietvaros pieejamo EKII finansējumu, nosacījumus, lai projekta iesniedzējs var iesniegt projekta iesniegumu, kā arī projekta īstenošanas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atbalstāmo bezemisiju transportlīdzekļu loks ir ne tikai elektromobilis, bet arī ūdeņraža automobilis. Saskaņā ar CSDD datiem uz 2025. gada 1. oktobri ir Latvijā ir reģistrēti četri vieglie ūdeņraža automobiļi. Pašlaik Latvijas tirgū ir pieejami sērijveida automobiļi, kas darbojas ar ūdeņradi </w:t>
      </w:r>
      <w:r w:rsidR="00000000" w:rsidRPr="00000000" w:rsidDel="00000000">
        <w:rPr>
          <w:i w:val="1"/>
          <w:rtl w:val="0"/>
        </w:rPr>
        <w:t xml:space="preserve">(FCEV – Fuel Cell Electric Vehicle)</w:t>
      </w:r>
      <w:r w:rsidR="00000000" w:rsidRPr="00000000" w:rsidDel="00000000">
        <w:rPr>
          <w:rtl w:val="0"/>
        </w:rPr>
        <w:t xml:space="preserve">. Tie izmanto ūdeņraža degvielas elementus, lai ražotu elektrību un darbinātu elektromotoru. Galvenie modeļi, kas ir pieejami Eiropas un Latvijas tirgū: Toyota Mirai (ar vienu uzpildi ūdeņraža automobilis nobrauc ap 650 km); Hyundai Nexo (ar vienu uzpildi ūdeņraža automobilis nobrauc ap 666 km).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transportlīdzekļu tirdzniecības vietu reģistrā reģistrētiem komersantiem pieejama A/S “Ceļu satiksmes drošības direkcija” tīmekļa vietnē https://e.csdd.lv/autoveikali/. Lai sabiedrība ērti varētu iegūt informāciju par tiem projekta iesniedzējiem, kas ir noslēguši līgumu par projekta īstenošanu ar Vides investīciju fondu un pie kuriem var iegādāties mazemisiju un bezemisiju transportlīdzekļus ar noteikto atbalstu no valsts puses, Vides investīciju fonds savā tīmekļa vietnē publicēs uzņēmumu sarakstu.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ir iegādājami vairāk kā 136 elektromobiļu modeļi no vismaz 36 automobiļu markām. Līdz ar to elektromobiļu izvēles iespējas atbilstoši tehniskajiem parametriem un cenai ir pietiekami plašas. Saskaņā ar Eiropas Auto ražotāju asociācijas datiem aptuveni 25 elektromobiļu modeļiem cena ir mazāka par 30 000 </w:t>
      </w:r>
      <w:r w:rsidR="00000000" w:rsidRPr="00000000" w:rsidDel="00000000">
        <w:rPr>
          <w:i w:val="1"/>
          <w:rtl w:val="0"/>
        </w:rPr>
        <w:t xml:space="preserve">euro</w:t>
      </w:r>
      <w:r w:rsidR="00000000" w:rsidRPr="00000000" w:rsidDel="00000000">
        <w:rPr>
          <w:rtl w:val="0"/>
        </w:rPr>
        <w:t xml:space="preserve">. Elektromobiļu cenai salīdzinot ar 2024. gadu ir tendence samazināties, gada laikā vidējā elektromobiļa cena bāzes komplektācijā ir samazinājusies par 5,5 %. Lētāku modeļu ienākšana 2025. gadā bija pagrieziena punkts ar vairāku "budžeta" elektromobiļu (zem 25 000 </w:t>
      </w:r>
      <w:r w:rsidR="00000000" w:rsidRPr="00000000" w:rsidDel="00000000">
        <w:rPr>
          <w:i w:val="1"/>
          <w:rtl w:val="0"/>
        </w:rPr>
        <w:t xml:space="preserve">euro</w:t>
      </w:r>
      <w:r w:rsidR="00000000" w:rsidRPr="00000000" w:rsidDel="00000000">
        <w:rPr>
          <w:rtl w:val="0"/>
        </w:rPr>
        <w:t xml:space="preserve">) masveida ražošanas uzsākšanu, piemēram, Renault 5, Citroën e-C3 un jauniem Ķīnas ražotāju BYD, MG modeļiem. Pretēji prognozēm, arēji lādējamie hibrīdauto  piedzīvoja pārdošanas apjomu pieaugumu (+38% gada griezumā), jo pircēji tos izvēlējās kā "pārejas tiltu", baidoties no pilnīgas atkarības no uzlādes tīkla. Pēdējos gados ir attīstījušās bateriju tehnoloģijas un vidējais nobraukums ar vienu uzlādi jauniem 2025. gada modeļiem sasniedza 420–480 km WLTP standartu ciklā </w:t>
      </w:r>
      <w:r w:rsidR="00000000" w:rsidRPr="00000000" w:rsidDel="00000000">
        <w:rPr>
          <w:i w:val="1"/>
          <w:rtl w:val="0"/>
        </w:rPr>
        <w:t xml:space="preserve">(Worldwide Harmonized Light Vehicles Test Procedure)</w:t>
      </w:r>
      <w:r w:rsidR="00000000" w:rsidRPr="00000000" w:rsidDel="00000000">
        <w:rPr>
          <w:rtl w:val="0"/>
        </w:rPr>
        <w:t xml:space="preserve">, mazinot "nobraukuma trauksmi". Vidējā bāzes arēji lādējamie hibridauto cena, salīdzinot ar 2024. gadu ir pieaugusi par 2,5%.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konkursa ietvaros fiziskas personas var iegādāties M1 un N1 kategorijas jaunu vai lietotu elektromobili vai ūdeņraža automobili, vai jaunu ārēji lādējamu hibrīdauto.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NEKP 3.1.1.7. pasākums paredz palielināt bezemisiju vieglo pasažieru transportlīdzekļu skaitu, t.i. pasākuma ietvaros līdz 2030. gadam ir nepieciešams sasniegt 20 000 bezemisiju transportlīdzekļus, piesaistot ES fondu, EKII, Modernizācijas fonda un privāto finansējumu. Ar bezemisiju transportlīdzekļiem tiek saprasti gan elektromobiļi, gan ūdeņraža automobiļi.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 2024. gada jūliju (Aktualizētā nacionālā enerģētikas un klimata plāna 2021. - 2030. gadam (NEKP) apstiprināšanas mēnesis) Latvijā bija reģistrēti 7549 elektromobiļi (N1 kategorija), t.i. tiek pieņemts bāzes līmenis "7549=0".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 2024. gada 1. jūlija (NEKP apstiprināšanas mēnesis) līdz 2026. gada 1. janvārim (aktuālie CSDD dati) ir iegādāti 6367 elektromobiļi (N1 kategorija) sākuma ietvaros sasniegt 20 000 elektromobiļus ir nepieciešams nodrošināt vēl 13 633 elektromobiļu iegādi (20 000 - 6367=13 633).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Modernizācijas fonda projektu konkursa "Energoefektivitātes paaugstināšana transporta sektorā – atbalsts elektromobiļu un to uzlādes infrastruktūras ieviešanai" ietvaros tuvākajos gados plānots sniegt atbalsts indikatīvi 877 elektromobiļu iegādei.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Latvijas Sociālā klimata fonda plāna 2026. - 2032. gadam projektu konkursu ietvaros (saskaņā ar plāna aktuālo darba versiju)  līdz 2032. gadam ir plānots sniegt atbalstu indikatīvi 4000-4428 elektromobiļiem.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Tiek pieņemts, ka citu valsts atbalsta programmu elektromobiļu veicināšanai (iegādei) vairs nav.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Tiek pieņemts, ka ūdeņraža automobiļu īpatsvars ir niecīgs, t.i. tuvu "0".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Līdz ar to jaunās EKII atbalsta programmas (MK noteikumu projekta) ietvaros indikatīvais atbalstāmo elektromobiļu skaits būtu 8328 (13 633-877-4428=8328).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Ņemot vērā EKII pieredzi par viena transportlīdzekļa iegādei piešķirto vidējo atbalsta apmēru - 4640 </w:t>
      </w:r>
      <w:r w:rsidR="00000000" w:rsidRPr="00000000" w:rsidDel="00000000">
        <w:rPr>
          <w:i w:val="1"/>
          <w:rtl w:val="0"/>
        </w:rPr>
        <w:t xml:space="preserve">euro </w:t>
      </w:r>
      <w:r w:rsidR="00000000" w:rsidRPr="00000000" w:rsidDel="00000000">
        <w:rPr>
          <w:rtl w:val="0"/>
        </w:rPr>
        <w:t xml:space="preserve">(atbilstoši noslēgtajiem līgumiem par atbalsta piešķiršanu un faktiski izmaksāto atbalsta apmēru atbalsta saņēmējiem), atbalsta programmas kopējais finansējums būtu ap 40 milj. euro.   (noapaļojot uz augšu, ņemot vērā, ka atbalsta programmas ietvaros var saņemt arī palielinātu atbalstu, ja atbalsta saņēmējam ir piešķirta Latvijas Goda ģimenes apliecība, kā arī papildus atbalsts par esoša transportlīdzekļa norakstīšanu).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aktīvāku mazemisiju un bezemisiju transportlīdzekļu iegādi un tajā pat laikā esošajā autoparkā mazinātu ar iekšdedzes dzinējiem darbināmus transportlīdzekļus, noteikumu projekts papildus valsts atbalstam par mazemisiju un bezemisiju transportlīdzekļu iegādi paredz stimulējošu mehānismu: atbalsta saņēmēja īpašumā esoša M1 un N1 kategorijas transportlīdzekļa, norakstīšanu, nododot to apstrādes uzņēmumam un attiecīgi saņemot 2000</w:t>
      </w:r>
      <w:r w:rsidR="00000000" w:rsidRPr="00000000" w:rsidDel="00000000">
        <w:rPr>
          <w:i w:val="1"/>
          <w:rtl w:val="0"/>
        </w:rPr>
        <w:t xml:space="preserve"> euro</w:t>
      </w:r>
      <w:r w:rsidR="00000000" w:rsidRPr="00000000" w:rsidDel="00000000">
        <w:rPr>
          <w:rtl w:val="0"/>
        </w:rPr>
        <w:t xml:space="preserve"> papildu atlaidi iegādājoties mazemisiju vai bezemisiju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Stimulējoša mehānisma būtība ir veicināt vecu un lietotu ar iekšdedzes dzinēju darbināmu transportlīdzekļu mazināšanos esošajā autoparkā. Līdz ar to veicinot ilgtermiņa risinājumu ieviešanu mazemisiju un bezemisiju transportlīdzekļu iegādei un izmantošanai iedzīvotāju vidū, tādā veidā nodrošinot SEG emisiju samazināšanos. Mehānisma darbības princips ir tāds, ja iedzīvotājs izvēlas no projekta īstenotāja iegādāties konkrētu mazemisiju vai bezemisiju transportlīdzekli konkursa ietvaros un iedzīvotāja īpašumā ir esošs ar iekšdedzes dzinēju darbināms M1 un N1 kategorijas transportlīdzeklis, tad iedzīvotājam ir iespēja saņemt 2000 </w:t>
      </w:r>
      <w:r w:rsidR="00000000" w:rsidRPr="00000000" w:rsidDel="00000000">
        <w:rPr>
          <w:i w:val="1"/>
          <w:rtl w:val="0"/>
        </w:rPr>
        <w:t xml:space="preserve">euro</w:t>
      </w:r>
      <w:r w:rsidR="00000000" w:rsidRPr="00000000" w:rsidDel="00000000">
        <w:rPr>
          <w:rtl w:val="0"/>
        </w:rPr>
        <w:t xml:space="preserve"> atlaidi mazemisiju vai bezemisiju transportlīdzekļa iegādei, ja esošais transportlīdzeklis tiek norakstīts, nododot to apstrādes uzņēmumam.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Apstrādes uzņēmumu saraksts ir pieejams CSDD tīmekļa vietnē https://www.csdd.lv/nolietota-transportlidzekla-parstrade/apstrades-uznemumu-saraksts.Tātad iedzīvotājs, kura īpašumā ir esošs Latvijas Republikā vismaz pēdējo gadu ir reģistrēts Latvijas Republikā, vismaz pēdējos trīs mēnešus ir reģistrēts atbalsta saņēmēja īpašumā un vismaz pēdējos 11 mēnešus ir izmantots ceļu satiksmē ar derīgu pielaidi ceļu satiksmei, ir aprīkots ar iekšdedzes dzinēju un ciklā starp pēdējām divām pamatpārbaudes apskatēm ir nobraucis vismaz 5000 km gadā.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Nolietotu transportlīdzekļu apsaimniekošanas likumu vieglā automobiļa, kravas automobiļa ar pilnu masu līdz 3500 kg, tricikla un kvadricikla īpašnieka pienākums ir nodrošināt, lai jebkurš tā īpašumā esošs nolietots transportlīdzeklis tiktu nodots apstrādes uzņēmumam. Savukārt, apstrādes uzņēmums nodrošina to, ka nolietota transportlīdzekļa īpašnieks var šo transportlīdzekli nodot apstrādes uzņēmuma pieņemšanas punktā bez jebkādām izmaksām, ja nolietotajam transportlīdzeklim netrūkst nozīmīgāko sastāvdaļu — motora, stūres mehānisma, šasijas, transmisijas, kā arī ja transportlīdzeklī nav papildu atkritumu un transportlīdzeklis nav reģistrēts komercķīlu reģistrā. Par nolietotā transportlīdzekļa (numurētā agregāta) nodošanu apstrādei apstrādes uzņēmums nolietotā transportlīdzekļa īpašniekam izsniedz transportlīdzekļa likvidācijas sertifikātu, kas ir izdruka no transportlīdzekļu un to vadītāju valsts reģistra. Apstrādes uzņēmums, izsniedzot transportlīdzekļa likvidācijas sertifikātu, veic nolietotā transportlīdzekļa norakstīšanu CSDD reģistrā. Ja transportlīdzeklis jātransportē līdz apstrādes uzņēmumam, transportlīdzekļa īpašnieks par to vienojas ar apstrādes uzņēmumu atsevišķi. Tāpat arī ar apstrādes uzņēmumu jāvienojas atsevišķi, ja transportlīdzekļa īpašnieks vēlas sev paturēt un turpmāk izmantot atsevišķas transportlīdzekļa sastāvdaļas.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Iedzīvotājs, pēc transportlīdzekļa likvidācijas sertifikāta saņemšanas, var doties pie projekta īstenotāja iegādāties mazemisiju vai bezemisiju transportlīdzekli ar šajos noteikumos paredzēto papildu atlaidi 2000 </w:t>
      </w:r>
      <w:r w:rsidR="00000000" w:rsidRPr="00000000" w:rsidDel="00000000">
        <w:rPr>
          <w:i w:val="1"/>
          <w:rtl w:val="0"/>
        </w:rPr>
        <w:t xml:space="preserve">euro </w:t>
      </w:r>
      <w:r w:rsidR="00000000" w:rsidRPr="00000000" w:rsidDel="00000000">
        <w:rPr>
          <w:rtl w:val="0"/>
        </w:rPr>
        <w:t xml:space="preserve">apmērā. Pirms transportlīdzekļa iegādes iedzīvotājs elektroniski vai papīra formātā aizpilda pieteikumu atbalsta saņemšanai, kurā norāda informāciju gan par plānoto iegādājamo transportlīdzekli, gan informāciju par norakstīto transportlīdzekli, kā arī pievieno transportlīdzekļa likvidācijas sertifikāta kopiju. Tas nozīmē, ka iedzīvotājs, noslēdzot pirkuma līgumu ar projekta īstenotāju, iegādāsies transportlīdzekli ar lielāku finansiālu atlaidi (atbalsts par “jauno” transportlīdzekli un valsts atbalsts par “veco” transportlīdzekli). Savukārt projekta īstenotājs minēto finansējuma apjomu kā maksājumu saņems no KEM, atbilstoši iesniegtajām kopsavilkuma atskaitēm par iepriekšējo mēnesi.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fiziskas personas atbilstības pārbaudi noteikumu projekta 14. un 15. punkta prasībām Vides investīciju fonds izmantos publiski pieejamās datubāzes un Iekšlietu ministrijas Informācijas centra pārziņā esošo valsts informācijas sistēmu "Sodu reģistrs", kā arī fiziskās personas iesniegto apliecinājumu (noteikumu projekta 2. pielikums). Informācija tiks pārbaudīta par katru fizisku personu, kas iegādāsies transportlīdzekli konkursa ietvaros. Ņemot vērā, ka atbalsta sniegšana plānota vairāku gadu laikā, tad paredzams, ka pārbaudāmais informācijas apjoms būs samērīgs un atbilstošs konkursa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konkursa ietvaros atbalsts netiek piešķirts tādām darbībām, kas kvalificējamas kā saimnieciskas.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II. nodaļa</w:t>
      </w:r>
      <w:r w:rsidR="00000000" w:rsidRPr="00000000" w:rsidDel="00000000">
        <w:rPr>
          <w:rtl w:val="0"/>
        </w:rPr>
        <w:t xml:space="preserve"> nosaka prasības projekta iesniedzējiem un atbalsta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ikgadējo nobraukumu ar elektromobili, noteikumu projektā minētais rādītājs ir noteikts kā 12 000 km. Saskaņā ar Centrālās statistikas pārvaldes un  CSDD datiem 2024. gadā vidējais automašīnu nobraukums bija 12 190 km gadā, kas ir par 10,7% vairāk, nekā  2023.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Vidējais nobraukums elektromobiļiem pa gadiem</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67"/>
        <w:gridCol w:w="2318"/>
        <w:gridCol w:w="2247"/>
        <w:gridCol w:w="2107"/>
        <w:tblGridChange w:id="0">
          <w:tblGrid>
            <w:gridCol w:w="2367"/>
            <w:gridCol w:w="2318"/>
            <w:gridCol w:w="2247"/>
            <w:gridCol w:w="21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Gads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Vieglo elektromobiļu nobraukums pa darbības veidiem un mājsaimniecībām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Reģistrēto elektromobiļu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Vidējais nobraukums elektromobiļiem, km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2022.g.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40 930 094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3 832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10 681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2023.g.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69 314 239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6 369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10 883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2024.g.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112 564 622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9 234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12 190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A/S “Latvenergo” sniegto informāciju, Latvijā reģistrētie elektromobiļi gadā vidēji nobrauc no 13 000 līdz 21 000 km jeb attālumu, kas ir samērojams ar iekšdedzes automašīnu nobraukto distanci. Noteikumu projekta mērķis ir veicināt SEG emisiju samazināšanu transporta sektorā, līdz ar to ar transportlīdzekli nobrauktajam apjomam ir svarīga loma, proti, lai nodrošinātu, ka ar atbalstu iegādātais transportlīdzeklis tiek aktīvi izmantots ekspluatācijā, tādā veidā aizstājot (un izslēdzot no satiksmes) attiecīgu ar iekšdedzes dzinēju darbināmu transportlīdzekli.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pēc iespējas vienkāršāku un ērtāku atbalsta sistēmas ieviešanu, tajā skaitā piemērojot dažāda veida stimulējošus risinājumus lielāka skaita mazemisiju un bezemisiju transportlīdzekļu iegādei, papildu administratīvo prasību noteikšana (piemēram, auto novērtēšana) nav vēlama. Tajā pat laikā, lai ieviestu diferencētus kompensācijas apmērus būtu jāveic priekšizpēte attiecībā uz esošā automobiļu tirgus novērtējumu – automobiļu skaits, sadalījums klasēs, vecums, tehniskie nosacījumi un iespējām tirgus vērtība. KEM rīcībā šāda rakstura informācija šobrīd nav pieejama un vērtējums balstās uz pieņēmumiem, kā arī publiski pieejamo informāciju par šāda veida transportlīdzekļu cenām. Papildus tam nenosakot konkrētu vērtību, var veidoties situācija, ka norakstāmā transportlīdzekļa vērtība ir būtiski lielāka nekā plānota kompensācija 2000 </w:t>
      </w:r>
      <w:r w:rsidR="00000000" w:rsidRPr="00000000" w:rsidDel="00000000">
        <w:rPr>
          <w:i w:val="1"/>
          <w:rtl w:val="0"/>
        </w:rPr>
        <w:t xml:space="preserve">euro</w:t>
      </w:r>
      <w:r w:rsidR="00000000" w:rsidRPr="00000000" w:rsidDel="00000000">
        <w:rPr>
          <w:rtl w:val="0"/>
        </w:rPr>
        <w:t xml:space="preserve"> apjomā. Līdz ar to piedāvātais kompensācijas apmērs 2000 </w:t>
      </w:r>
      <w:r w:rsidR="00000000" w:rsidRPr="00000000" w:rsidDel="00000000">
        <w:rPr>
          <w:i w:val="1"/>
          <w:rtl w:val="0"/>
        </w:rPr>
        <w:t xml:space="preserve">euro</w:t>
      </w:r>
      <w:r w:rsidR="00000000" w:rsidRPr="00000000" w:rsidDel="00000000">
        <w:rPr>
          <w:rtl w:val="0"/>
        </w:rPr>
        <w:t xml:space="preserve"> ir proporcionāls un samērīgs.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arī atsevišķus projektu iesniedzēju un atbalsta saņēmēju izslēgšanas nosacījumus, nosakot minimālās prasības, kurām jāatbilst personai, lai tā varētu pretendēt uz dalību konkursā.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Noteikuma projekta 16. punkta paredzētie ierobežojumi nodrošina publiskā finansējuma drošību un tiesisku izlietojumu, novēršot riskus, ko rada negodprātīgi projekta iesniedzēji. Tie garantē vienlīdzīgu konkurenci un valsts budžeta aizsardzību pret krāpniecību un nodokļu nemaksāšanu.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16.5. punktā noteiktais ierobežojums paredz, ka personas, kuras ir atzītas par vainīgām korupcijas, mantisku noziedzīgu nodarījumu, nodokļu noziegumu vai ar terorismu saistītu noziedzīgu nodarījumu izdarīšanā, nav tiesīgas kvalificēties valsts atbalsta saņemšanai. Saskaņā ar Krimināllikuma 7. panta ceturto un piekto daļu noteikumu projekta  16.5. punktā minētie noziedzīgie nodarījumi tiek kvalificēti kā smagi vai sevišķi smagi noziegumi. Šāds regulējums nodrošina valsts atbalsta piešķiršanas atbilstību sabiedrības interesēm un labas pārvaldības principam. Noteikumu projekta 16.5. punkta ierobežojumi neattiecas uz personām, kurām sodāmība dzēsta vai noņemta atbilstoši Krimināllikuma 63. pantā noteiktajā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III. nodaļa</w:t>
      </w:r>
      <w:r w:rsidR="00000000" w:rsidRPr="00000000" w:rsidDel="00000000">
        <w:rPr>
          <w:rtl w:val="0"/>
        </w:rPr>
        <w:t xml:space="preserve"> nosaka finansējuma apmēra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Konkursa ietvaros maksimāli pieļaujamā finanšu instrumenta atbalsta intensitāte nevar pārsniegt 90% no elektromobiļa, ūdeņraža automobiļa un ārēji lādējama hibrīdauto iegādes izmaksām, nepārsniedzot zemāk apkopotajā tabulā noteikto maksimālo atbalsta apmēru iegādes nosacījumiem EKII konkursa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557"/>
        <w:gridCol w:w="2363"/>
        <w:gridCol w:w="2575"/>
        <w:gridCol w:w="2543"/>
        <w:tblGridChange w:id="0">
          <w:tblGrid>
            <w:gridCol w:w="1557"/>
            <w:gridCol w:w="2363"/>
            <w:gridCol w:w="2575"/>
            <w:gridCol w:w="2543"/>
          </w:tblGrid>
        </w:tblGridChange>
      </w:tblGrid>
      <w:tr>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Atbalsta aktivitāte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nav Latvijas Goda ģimenes apliecība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ir Latvijas Goda ģimenes apliecība un transportlīdzeklim vismaz piecas sēdvietas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ir Latvijas Goda ģimenes apliecība un</w:t>
            </w:r>
            <w:r w:rsidR="00000000" w:rsidRPr="00000000" w:rsidDel="00000000">
              <w:rPr>
                <w:sz w:val="24"/>
                <w:b w:val="1"/>
                <w:rtl w:val="0"/>
              </w:rPr>
              <w:t xml:space="preserve"> transportlīdzeklim vismaz septiņas sēdvietas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jauna </w:t>
            </w:r>
            <w:r w:rsidR="00000000" w:rsidRPr="00000000" w:rsidDel="00000000">
              <w:rPr>
                <w:sz w:val="24"/>
                <w:rtl w:val="0"/>
              </w:rPr>
              <w:t xml:space="preserve">rūpnieciski ražotu M1 un N1  kategorijas </w:t>
            </w:r>
            <w:r w:rsidR="00000000" w:rsidRPr="00000000" w:rsidDel="00000000">
              <w:rPr>
                <w:sz w:val="24"/>
                <w:b w:val="1"/>
                <w:rtl w:val="0"/>
              </w:rPr>
              <w:t xml:space="preserve">elektromobiļu </w:t>
            </w:r>
            <w:r w:rsidR="00000000" w:rsidRPr="00000000" w:rsidDel="00000000">
              <w:rPr>
                <w:sz w:val="24"/>
                <w:rtl w:val="0"/>
              </w:rPr>
              <w:t xml:space="preserve">iegāde</w:t>
            </w:r>
            <w:r w:rsidR="00000000" w:rsidRPr="00000000" w:rsidDel="00000000">
              <w:rPr>
                <w:sz w:val="24"/>
                <w:i w:val="1"/>
                <w:rtl w:val="0"/>
              </w:rPr>
              <w:t xml:space="preserve">,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lietota </w:t>
            </w:r>
            <w:r w:rsidR="00000000" w:rsidRPr="00000000" w:rsidDel="00000000">
              <w:rPr>
                <w:sz w:val="24"/>
                <w:rtl w:val="0"/>
              </w:rPr>
              <w:t xml:space="preserve">rūpnieciski ražota M1 un N1  kategorijas </w:t>
            </w:r>
            <w:r w:rsidR="00000000" w:rsidRPr="00000000" w:rsidDel="00000000">
              <w:rPr>
                <w:sz w:val="24"/>
                <w:b w:val="1"/>
                <w:rtl w:val="0"/>
              </w:rPr>
              <w:t xml:space="preserve">elektromobiļa </w:t>
            </w:r>
            <w:r w:rsidR="00000000" w:rsidRPr="00000000" w:rsidDel="00000000">
              <w:rPr>
                <w:sz w:val="24"/>
                <w:rtl w:val="0"/>
              </w:rPr>
              <w:t xml:space="preserve">iegāde</w:t>
            </w:r>
            <w:r w:rsidR="00000000" w:rsidRPr="00000000" w:rsidDel="00000000">
              <w:rPr>
                <w:sz w:val="24"/>
                <w:i w:val="1"/>
                <w:rtl w:val="0"/>
              </w:rPr>
              <w:t xml:space="preserve">,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6750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jauna </w:t>
            </w:r>
            <w:r w:rsidR="00000000" w:rsidRPr="00000000" w:rsidDel="00000000">
              <w:rPr>
                <w:sz w:val="24"/>
                <w:rtl w:val="0"/>
              </w:rPr>
              <w:t xml:space="preserve">rūpnieciski ražotu M1 un N1 kategorijas </w:t>
            </w:r>
            <w:r w:rsidR="00000000" w:rsidRPr="00000000" w:rsidDel="00000000">
              <w:rPr>
                <w:sz w:val="24"/>
                <w:b w:val="1"/>
                <w:rtl w:val="0"/>
              </w:rPr>
              <w:t xml:space="preserve">ūdeņraža </w:t>
            </w:r>
            <w:r w:rsidR="00000000" w:rsidRPr="00000000" w:rsidDel="00000000">
              <w:rPr>
                <w:sz w:val="24"/>
                <w:rtl w:val="0"/>
              </w:rPr>
              <w:t xml:space="preserve">automobiļa iegāde,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lietota </w:t>
            </w:r>
            <w:r w:rsidR="00000000" w:rsidRPr="00000000" w:rsidDel="00000000">
              <w:rPr>
                <w:sz w:val="24"/>
                <w:rtl w:val="0"/>
              </w:rPr>
              <w:t xml:space="preserve">rūpnieciski ražota M1 un N1 kategorijas </w:t>
            </w:r>
            <w:r w:rsidR="00000000" w:rsidRPr="00000000" w:rsidDel="00000000">
              <w:rPr>
                <w:sz w:val="24"/>
                <w:b w:val="1"/>
                <w:rtl w:val="0"/>
              </w:rPr>
              <w:t xml:space="preserve">ūdeņraža </w:t>
            </w:r>
            <w:r w:rsidR="00000000" w:rsidRPr="00000000" w:rsidDel="00000000">
              <w:rPr>
                <w:sz w:val="24"/>
                <w:rtl w:val="0"/>
              </w:rPr>
              <w:t xml:space="preserve">automobiļa iegāde,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6750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jauna </w:t>
            </w:r>
            <w:r w:rsidR="00000000" w:rsidRPr="00000000" w:rsidDel="00000000">
              <w:rPr>
                <w:sz w:val="24"/>
                <w:rtl w:val="0"/>
              </w:rPr>
              <w:t xml:space="preserve">rūpnieciski ražota M1 un N1 kategorijas </w:t>
            </w:r>
            <w:r w:rsidR="00000000" w:rsidRPr="00000000" w:rsidDel="00000000">
              <w:rPr>
                <w:sz w:val="24"/>
                <w:b w:val="1"/>
                <w:rtl w:val="0"/>
              </w:rPr>
              <w:t xml:space="preserve">ārēji lādējama hibrīdaut</w:t>
            </w:r>
            <w:r w:rsidR="00000000" w:rsidRPr="00000000" w:rsidDel="00000000">
              <w:rPr>
                <w:sz w:val="24"/>
                <w:b w:val="1"/>
                <w:i w:val="1"/>
                <w:rtl w:val="0"/>
              </w:rPr>
              <w:t xml:space="preserve">o</w:t>
            </w:r>
            <w:r w:rsidR="00000000" w:rsidRPr="00000000" w:rsidDel="00000000">
              <w:rPr>
                <w:sz w:val="24"/>
                <w:i w:val="1"/>
                <w:rtl w:val="0"/>
              </w:rPr>
              <w:t xml:space="preserve"> iegāde,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6750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9000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īpašumā esoša M1 un N1  kategorijas transportlīdzekļa norakstīšana, </w:t>
            </w:r>
            <w:r w:rsidR="00000000" w:rsidRPr="00000000" w:rsidDel="00000000">
              <w:rPr>
                <w:sz w:val="24"/>
                <w:i w:val="1"/>
                <w:rtl w:val="0"/>
              </w:rPr>
              <w:t xml:space="preserve">euro</w:t>
            </w:r>
          </w:p>
        </w:tc>
        <w:tc>
          <w:tcPr>
            <w:shd w:fill="ffffff"/>
            <w:vAlign w:val="center"/>
            <w:noWrap w:val="true"/>
            <w:vMerge w:val="restart"/>
            <w:gridSpan w:val="3"/>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 īpašumā esoša M1 un N1 kategorijas transportlīdzekļa bezatlīdzības nodošana Ukrainas bruņotajiem spēkiem  ar mērķi sniegt tiešu atbalstu Ukrainas valsts aizsardzībai, </w:t>
            </w:r>
            <w:r w:rsidR="00000000" w:rsidRPr="00000000" w:rsidDel="00000000">
              <w:rPr>
                <w:sz w:val="24"/>
                <w:i w:val="1"/>
                <w:rtl w:val="0"/>
              </w:rPr>
              <w:t xml:space="preserve">euro</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papildus atbalsts Goda ģimenes apliecības turētājiem ar četriem un vairāk bērniem, </w:t>
            </w:r>
            <w:r w:rsidR="00000000" w:rsidRPr="00000000" w:rsidDel="00000000">
              <w:rPr>
                <w:sz w:val="24"/>
                <w:i w:val="1"/>
                <w:rtl w:val="0"/>
              </w:rPr>
              <w:t xml:space="preserve">euro</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1000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762"/>
        <w:gridCol w:w="4578"/>
        <w:tblGridChange w:id="0">
          <w:tblGrid>
            <w:gridCol w:w="4762"/>
            <w:gridCol w:w="457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Goda ģimenes apliecības turētājs ar trim bērniem,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pamatlikme (5000; 6750; 9000)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Goda ģimenes apliecības turētājs ar četriem bērniem,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pamatlikme + 1000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Goda ģimenes apliecības turētājs ar pieciem bērniem,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pamatlikme + 2000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Goda ģimenes apliecības turētājs ar </w:t>
            </w:r>
            <w:r w:rsidR="00000000" w:rsidRPr="00000000" w:rsidDel="00000000">
              <w:rPr>
                <w:sz w:val="24"/>
                <w:i w:val="1"/>
                <w:rtl w:val="0"/>
              </w:rPr>
              <w:t xml:space="preserve">n</w:t>
            </w:r>
            <w:r w:rsidR="00000000" w:rsidRPr="00000000" w:rsidDel="00000000">
              <w:rPr>
                <w:sz w:val="24"/>
                <w:rtl w:val="0"/>
              </w:rPr>
              <w:t xml:space="preserve"> bērniem, 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pamatlikme + </w:t>
            </w:r>
            <w:r w:rsidR="00000000" w:rsidRPr="00000000" w:rsidDel="00000000">
              <w:rPr>
                <w:sz w:val="24"/>
                <w:i w:val="1"/>
                <w:rtl w:val="0"/>
              </w:rPr>
              <w:t xml:space="preserve">n</w:t>
            </w:r>
            <w:r w:rsidR="00000000" w:rsidRPr="00000000" w:rsidDel="00000000">
              <w:rPr>
                <w:sz w:val="24"/>
                <w:rtl w:val="0"/>
              </w:rPr>
              <w:t xml:space="preserve"> tūkstoši</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var saņemt, ja elektromobilis (jauns vai lietots), ūdeņraža automobilis (jauns vai lietots) vai ārēji lādējamais hibrīdauto (jauns) tiek iegādāts par cenu līdz 45 000</w:t>
      </w:r>
      <w:r w:rsidR="00000000" w:rsidRPr="00000000" w:rsidDel="00000000">
        <w:rPr>
          <w:i w:val="1"/>
          <w:rtl w:val="0"/>
        </w:rPr>
        <w:t xml:space="preserve"> euro </w:t>
      </w:r>
      <w:r w:rsidR="00000000" w:rsidRPr="00000000" w:rsidDel="00000000">
        <w:rPr>
          <w:rtl w:val="0"/>
        </w:rPr>
        <w:t xml:space="preserve">(bez PVN) bāzes komplektācijā bet, ja tam ir vismaz sešas sēdvietas, – līdz 60 000</w:t>
      </w:r>
      <w:r w:rsidR="00000000" w:rsidRPr="00000000" w:rsidDel="00000000">
        <w:rPr>
          <w:i w:val="1"/>
          <w:rtl w:val="0"/>
        </w:rPr>
        <w:t xml:space="preserve"> euro (</w:t>
      </w:r>
      <w:r w:rsidR="00000000" w:rsidRPr="00000000" w:rsidDel="00000000">
        <w:rPr>
          <w:rtl w:val="0"/>
        </w:rPr>
        <w:t xml:space="preserve">bez PVN) bāzes komplektācijā.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papildus nosacījumi lietotiem elektromobiļiem un ūdeņraža automobiļiem ir noteikts, ka pirmās reģistrācijas datums ir ne vēlāks kā septiņi gadi pirms atbalsta saņemšanas un nobraukums – ne vairāk kā 150 000 km, kā arī transportlīdzeklis nav reģistrēts Latvijā ilgāk par 12 mēnešiem. Minētie nosacījumi noteikti ņemot vērā līdzšinējo pieredzi EKII projektu konkursa ietvaros, līzinga perioda termiņu, kā arī vēlmi nodrošināt ilgtspējīgu finansējuma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Nosacījumi attiecībā uz elektromobiļa pirmās reģistrācijas datumu (ne vēlāk kā septiņi gadi pirms atbalsta saņemšanas) un nobraukumu (ne vairāk kā 150 000 km transportlīdzekļa pārdošanas brīdī) ir noteikti, izvērtējot vairākus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nepieciešamību nodrošināt atbalsta sistēmas ilgtspējīgu darbību, tostarp finansējuma pieejamību plānotajā programmas darbības periodā līdz 2030.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pieejamā publiskā finansējuma efektīvu izmantošanu, nodrošinot, ka atbalsts veicina relatīvi jaunāku un tehnoloģiski efektīvāku transportlīdzekļu nonākšanu lietošanā;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elektromobiļu tehnoloģiju attīstības tendences, īpaši attiecībā uz vilces akumulatoru darbības ilgumu, kapacitātes samazināšanos ekspluatācijas laikā un potenciālajiem uzturēšanas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transportlīdzekļu ražotāju noteiktos garantijas nosacījumus, kas atšķiras starp vispārējo transportlīdzekļa garantiju un vilces akumulatora garantiju;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iedzīvotāju interešu aizsardzību, nodrošinot, ka transportlīdzekļa iegādes brīdī saglabājas pietiekams laika un nobraukuma periods, kurā iespējams konstatēt potenciālus vilces akumulatora vai citu būtisku komponentu defektus laikā, kad vēl ir spēkā ražotāja garantija;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nepieciešamību veicināt autoparka pakāpenisku atjaunošanos un elektromobiļu ilgtspējīgu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jāņem vērā, ka transportlīdzekļiem ar lielāku vecumu un nobraukumu palielinās tehniskais un finanšu risks, īpaši attiecībā uz vilces akumulatora veiktspēju un iespējamo nomaiņas izmaksu apmēru. Šādos gadījumos valsts atbalsta piešķiršana var radīt situācijas, kurās iedzīvotāji saskaras ar būtiskām papildu izmaksām neilgi pēc transportlīdzekļa iegādes, kas neatbilst programmas mērķim veicināt drošu un ilgtspējīgu pāreju uz bezemisiju mobilitāti.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pārāk augstu vecuma un nobraukuma robežvērtību noteikšana var mazināt valsts atbalsta programmas efektivitāti un reputāciju, ja publiskais finansējums tiek izmantots transportlīdzekļu iegādei ar augstāku tehnisko nolietojumu un ierobežotu turpmāko ekspluatācijas potenciālu.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minētos apsvērumus, MK noteikumu projektā ietvertie kritēriji ir izvēlēti kā sabalansēts risinājums starp transportlīdzekļu pieejamību tirgū, iedzīvotāju interešu aizsardzību un publisko līdzekļu efektīvu izmantošanu.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21. punkts paredz atbalstu 1000</w:t>
      </w:r>
      <w:r w:rsidR="00000000" w:rsidRPr="00000000" w:rsidDel="00000000">
        <w:rPr>
          <w:i w:val="1"/>
          <w:rtl w:val="0"/>
        </w:rPr>
        <w:t xml:space="preserve"> euro</w:t>
      </w:r>
      <w:r w:rsidR="00000000" w:rsidRPr="00000000" w:rsidDel="00000000">
        <w:rPr>
          <w:rtl w:val="0"/>
        </w:rPr>
        <w:t xml:space="preserve"> apmērā visām Goda ģimenes apliecības turētājiem, kuras aprūpē ir četri un vairāk bērni vecumā līdz astoņpadsmit gadiem vai pilngadīgas personas, kuras nav sasniegušas 24 gadu vecumu, ja tās iegūst vispārējo, profesionālo vai augstāko izglītību vai 11 mēnešus pilda valsts aizsardzības dienestu, kā arī ģimenēm, kuras aprūpē bērnu ar invaliditāti vai pilngadīgu personu, kura nav sasniegusi 24 gadu vecumu un kurai noteikta I vai II grupas invaliditāte.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IV. nodaļa</w:t>
      </w:r>
      <w:r w:rsidR="00000000" w:rsidRPr="00000000" w:rsidDel="00000000">
        <w:rPr>
          <w:rtl w:val="0"/>
        </w:rPr>
        <w:t xml:space="preserve"> nosaka projektu konkursa ietvaros attiecināmās un neattiecināmās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Attiecināmas izmaksas ir transportlīdzekļa pārdošanas cenas – jaunam un lietotam elektromobilim vai ūdeņraža automobilim un jaunam ārēji lādējamam hibrīdauto, kā arī izmaksas par nolietota transportlīdzekļa norakstīšanu, nododot to apstrādes uzņēmumam.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ir attiecināmas, ja atbalsta saņēmējs kļūst par transportlīdzekļa īpašnieku, nodrošina tā ekspluatāciju atbilstoši normatīvajiem aktiem un reģistrē to Latvijā vismaz uz pieciem gadiem vai nobraukumam jābūt vismaz 60 000 km.  Atbalsta saņēmējam jānodrošina vidējais nobraukums vismaz 12 000 km gadā un transportlīdzeklis nedrīkst tikt izmantots saimnieciskai darbībai. Vienlaikus, lai mazinātu finanšu korekciju riskus, kas var iestāties no atbalsta saņēmēja neatkarīgiem apstākļiem transportlīdzekļa izmantošanas laikā, MK noteikumu projekta paredz, ka, ja atbalsta saņēmējs monitoringa periodā nespēj nodrošināt nosacījumu par vismaz 60 000 km nobraukumu (no brīža, kad elektromobilis reģistrēts finansējuma saņēmēja īpašumā vai turējumā), noslēdzoties monitoringa periodam, ir pieļaujama transprtlīdzekļa faktiskā nobraukuma nobīde uz leju 20 % apmērā, proti, ar minēto transportlīdzekli var nobraukt mazāku attālumu un Vides investīciju fonds neveic atgūstamo neattieicnāmo līdzekļu aprēķinu un neuzsāk to atgūšanu.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Norakstāmajam auto jābūt aprīkotam ar iekšdedzes dzinēju, derīgai tehniskajai apskatei un jābūt norakstītam saskaņā ar normatīvajiem aktiem, saņemot likvidācijas sertifikātu.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Neattiecināmas izmaksas, kas jau segtas citās finansējuma programmās vai no citiem finanšu instrumentiem. Līzinga pakalpojumu izmaksas, piemēram, pieteikuma izskatīšana, procenti, komisijas, valūtas maiņas zaudējumi un citi finanšu izdevumi. Transportlīdzekļa transportēšanas, norakstīšanas un utilizācijas izmaksas. Lai nodrošinātu, ka lietotu elektromobiļu iegādei netiek piešķirts dubults finansējums, notiek sistemātisks verifikācijas process. Atbalsta pieprasījuma izvērtēšanas laikā tiek veikta elektromobiļa identifikācijas numura (VIN) pārbaude Vides investīciju fonda pārziņā esošajā datubāze. Pārbaudes mērķis ir konstatēt, vai konkrētais elektromobilis jau iepriekš ir saņēmis jebkāda veida valsts atbalstu no Latvijas Republikā finansētajām programmām, tajā skaitā, atbalstu elektromobiļu iegādei, uzlādes infrastruktūrai vai citiem ar elektromobilitāti saistītiem pasākumiem. Ja Vides investīciju fonds pārbaudes rezultātā konstatē, ka elektromobiļa iegādei jau ir bijis sniegts atbalsts, attiecīgais iesniegums tiek noraidīts, pamatojoties uz dubulta atbalsta nepieļaujamības principu. Šāda pieeja nodrošina racionālu valsts finanšu līdzekļu izmantošanu, programmas caurskatāmību un vienlīdzīgu attieksmi pret visiem pretendentiem.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lietotiem elektromobiļiem, kas tiek ievesti no ārvalstīm, programmas īstenošanas kārtība paredz, ka primāro atbildību par elektromobiļa atbilstību noteikumiem, tostarp par to, ka elektromobilis nav saņēmis valsts atbalstu citās ES dalībvalstīs vai citās ārvalstu programmās, uzņemas pārdevējs. Minētā atbildība tiek nodrošināta, izmantojot pārdevēja pašapliecinājumu. Pārdevēja iesniegtais pašapliecinājums kalpo kā pamats administratīvai pārliecībai par transportlīdzekļa vēsturi un atbalsta saņemšanas statusu, ļaujot nodrošināt programmas neatbilstības risku samērīgu pārvaldību un valsts atbalsta piešķiršanas caurskatāmību.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V. nodaļa</w:t>
      </w:r>
      <w:r w:rsidR="00000000" w:rsidRPr="00000000" w:rsidDel="00000000">
        <w:rPr>
          <w:rtl w:val="0"/>
        </w:rPr>
        <w:t xml:space="preserve"> nosaka projektu konkursa izsludināšanas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konkursa izsludināšanas dienā Vides investīciju fonds ievietos savā tīmekļvietnē vadlīnijas atbalsta saņēmējiem par transportlīdzekļu norakstīšanu, nododot tos apstrādes uzņēmumam.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konkursa izsludināšanas dienā Vides investīciju fonds ievietos Vides investīciju fonda tīmekļvietnē vadlīnijas atbalsta saņēmējiem par transportlīdzekļu iegādes kārtību pie projekta īstenotāja.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Vides investīciju fonds sagatavos projekta līguma veidni, kas būs pieejama projekta iesniedzējiem jau savlaicīgi pirms projekta iesnieguma iesniegšanas, ņemot vērā, ka līguma saturs varētu ietekmēt projekta iesniedzēja motivāciju un iespējas piedalīties finanšu instrumenta konkursā. Tāpat tiks sagatavota pirkuma līguma veidne, kas būs pieejama atbalsta saņēmējiem jau savlaicīgi pirms pirkuma veikšanas.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VI. nodaļa </w:t>
      </w:r>
      <w:r w:rsidR="00000000" w:rsidRPr="00000000" w:rsidDel="00000000">
        <w:rPr>
          <w:rtl w:val="0"/>
        </w:rPr>
        <w:t xml:space="preserve">nosaka projektu iesnieguma un atbalsta pieteikuma saturu un iesniegšanas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investīciju fonds pēc noteikumu projekta apstiprināšanas izsludina konkursu komersantiem (auto tirgotājiem, kas reģistrēti CSDD pārziņā esošajā transportlīdzekļu un to vadītāju valsts reģistrā reģistrēts komersants, kas normatīvajos aktos noteiktajā kārtībā ierīkojis un reģistrējis transportlīdzekļu tirdzniecības vietu) ar lūgumu iesniegt projektu iesniegumus par plānoto elektromobiļu, ūdeņraža automobili un ārēji lādējamu hibrīdauto pārdošanu šī konkursa ietvaros. Pēc projektu iesniegumu saņemšanas noteiktajā termiņā projektu iesniegumu vērtēšanas komisija veic to izvērtēšanu. Pozitīva vērtējuma gadījumā projekta iesniedzējs (komersants) tiks aicināts slēgt līgumu ar Vides investīciju fondu par projekta īstenošanu jeb transportlīdzekļu pārdošanu iedzīvotājiem. Pēc projekta līguma parakstīšanas iedzīvotājam ir tiesības pie komersanta iegādāties izvēlēto elektromobili, ūdeņraža automobili vai ārēji lādējamu hibrīdauto ar šajos noteikumos paredzēto atbalstu. Piemēram, iedzīvotājs apmeklē autosalonu “X” un vēlas iegādāties jaunu elektromobili “Y”, kura vērtība ir 30 000 </w:t>
      </w:r>
      <w:r w:rsidR="00000000" w:rsidRPr="00000000" w:rsidDel="00000000">
        <w:rPr>
          <w:i w:val="1"/>
          <w:rtl w:val="0"/>
        </w:rPr>
        <w:t xml:space="preserve">euro</w:t>
      </w:r>
      <w:r w:rsidR="00000000" w:rsidRPr="00000000" w:rsidDel="00000000">
        <w:rPr>
          <w:rtl w:val="0"/>
        </w:rPr>
        <w:t xml:space="preserve"> (ar PVN). Izmantojot sniegto atbalstu iedzīvotājs šo elektromobili “Y” varēs iegādāties par 30 000 – 4 000 = 26 000 </w:t>
      </w:r>
      <w:r w:rsidR="00000000" w:rsidRPr="00000000" w:rsidDel="00000000">
        <w:rPr>
          <w:i w:val="1"/>
          <w:rtl w:val="0"/>
        </w:rPr>
        <w:t xml:space="preserve">euro</w:t>
      </w:r>
      <w:r w:rsidR="00000000" w:rsidRPr="00000000" w:rsidDel="00000000">
        <w:rPr>
          <w:rtl w:val="0"/>
        </w:rPr>
        <w:t xml:space="preserve"> (ar PVN). Attiecīgi maksājumu par minēto elektromobili veicot piemēram, ar pārskatījumu vai izmantojot kredītu, vai līzinga pakalpojumu. Par transportlīdzekļa iegādi tiks slēgts trīspusējs līgums par transportlīdzekļa iegādi starp projekta īstenotāju, Vides investīciju fondu un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VII. nodaļa</w:t>
      </w:r>
      <w:r w:rsidR="00000000" w:rsidRPr="00000000" w:rsidDel="00000000">
        <w:rPr>
          <w:rtl w:val="0"/>
        </w:rPr>
        <w:t xml:space="preserve"> nosaka projektu iesnieguma vērtēšanu un lēmuma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projektu iesniegumu vērtēšanu Vides investīciju fonds izveido projektu iesniegumu vērtēšanas komisiju (turpmāk - vērtēšanas komisija). Vērtēšanas komisijas darbības kārtību nosaka vērtēšanas komisijas nolikums. Vērtēšanas komisijas sastāvu un nolikumu (vispārīgos jautājumus, vērtēšanas komisijas locekļu un ekspertu atbildību un pienākumus, projektu iesniegumu saņemšanas un reģistrācijas kārtību, vērtēšanas komisijas un ekspertu kompetenci, komisijas sekretāra kompetenci un vērtēšanas komisijas darbību) apstiprina ar Vides investīciju fonda rīkojumu. Vērtēšanas komisijas sanāksmju skaits atkarīgs no iesniegto projektu iesniegumu skaita un to kvalitātes. Papildus tam šī konkursa ietvaros nav paredzēta projektu iesniegumu kvalitātes vērtēšana, kas paātrinās kopējo projektu iesniegumu vērtēšanas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VIII. nodaļa</w:t>
      </w:r>
      <w:r w:rsidR="00000000" w:rsidRPr="00000000" w:rsidDel="00000000">
        <w:rPr>
          <w:rtl w:val="0"/>
        </w:rPr>
        <w:t xml:space="preserve"> nosaka projekta līguma noslēgšanas un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par projekta īstenošanu starp Vides investīciju fondu un projekta iesniedzēju jāparaksta 30 darbdienu laikā pēc apstiprinājuma. Līguma projekts tiek publicēts Vides investīciju fonda tīmekļvietnē. Nepieciešamības gadījumā līguma grozījumi tiek veikti pēc pušu pieprasījuma 20 darbdienu laikā.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īstenotājam jānodrošina publicitāte (informācija tīmekļvietnē, tirdzniecības vietā u.c.), līguma darbības laikā reizi nedēļā jāiesniedz Vides investīciju fondam kopsavilkuma pārskati par pārdotiem transportlīdzekļiem un norakstītiem auto, kā arī to pamatojoši dokumenti. Ja projekta īstenotājs nepilda savus pienākumus atbilstoši projekta līguma un konkursa nosacījumiem, tostarp nesniedz atbalstu atbalsta saņēmējam vai sniedz maldinošu, nepilnīgu vai nepatiesu informāciju, projekta līgumā tiek paredzēta kārtība un izbeigšanas nosacījumi.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dokumenti netiek iesniegti mēneša laikā, Vides investīciju fondam ir tiesības atkāpties no līgumā ar atbalsta saņēmēju noteiktajām saistībām.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līgumā ietver minētā punkta apakšpunktos norādīto informāciju, kā arī informāciju par terminiem un to interpretāciju, maksājumu veikšanas kārtību, atbalsta summa samazināšanu un atmaksu, pārbaužu veikšanas kārtību, projekta līguma grozījumu kārtību, nepārvaramas varas apstākļus.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IX. nodaļa</w:t>
      </w:r>
      <w:r w:rsidR="00000000" w:rsidRPr="00000000" w:rsidDel="00000000">
        <w:rPr>
          <w:rtl w:val="0"/>
        </w:rPr>
        <w:t xml:space="preserve"> nosaka pieteikuma atbalsta saņemšanai izvērtēšanu.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Pieteikumi tiek izvērtēti piecu darbdienu laikā iesniegšanas secībā. Ja pieteikumā ir tehniskas kļūdas, atbalsta saņēmējs tiek informēts un lūgts iesniegt jaunu pieteikumu. Ja pieteikums atbilst prasībām, projekta īstenotājs informē atbalsta saņēmēju un Vides investīciju fondu, kas apstiprina atbalstu transportlīdzekļa iegādei noteiktajā apjomā.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X. nodaļa</w:t>
      </w:r>
      <w:r w:rsidR="00000000" w:rsidRPr="00000000" w:rsidDel="00000000">
        <w:rPr>
          <w:rtl w:val="0"/>
        </w:rPr>
        <w:t xml:space="preserve"> nosaka līguma par transportlīdzekļa iegādi noslēgšanas un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projekta ietvaros iegādāto transportlīdzekļu ilgtspējīgu izmantošanu, gadījumos, kad tiek piesaistīts līzinga devējs, noteikumu projekts paredz, ka Vides investīciju fonds un līzinga devējs, kas sniegs līzinga pakalpojumus atbalsta saņēmējiem transportlīdzekļa iegādei noslēdz līgumu par Vides investīciju fonda un līzinga devēja tiesībām un pienākumiem šī konkursa ietvaros. Minētais līgums ietvers nosacījums t.sk. par savstarpējām attiecībām starp Vides investīciju fondu, līzinga devēju un atbalsta saņēmēju, sankcijas par transportlīdzekļa atsavināšanu, ja netiek nodrošināti šajos noteikumos minētie nosacījumi, monitoringa nosacījumi t.sk. transportlīdzekļa nobraukums un finansējuma atmaksāšanas nosacījumi gadījumos, kad transportlīdzekli nevar izmantot satiksmē (avarējis, nozagts un tml.).</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XI. nodaļa</w:t>
      </w:r>
      <w:r w:rsidR="00000000" w:rsidRPr="00000000" w:rsidDel="00000000">
        <w:rPr>
          <w:rtl w:val="0"/>
        </w:rPr>
        <w:t xml:space="preserve"> nosaka līguma projekta īstenotājam pieejamos maksājumus un maksāšanas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īstenotājs izvērtē atbalsta saņēmēja iesniegto pieteikumu piecu darbdienu laikā, ievērojot iesniegšanas secību. Ja pieteikumā konstatētas tehniskas neatbilstības (piemēram, neaizpildīti lauki, nesalasāma informācija), projekta īstenotājs informē atbalsta saņēmēju un lūdz iesniegt jaunu pieteikumu. Ja pieteikums atbilst noteikumu prasībām un Vides investīciju fonds to apstiprina, projekta īstenotājs informē atbalsta saņēmēju par piekrišanu transportlīdzekļa pārdošanai.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Noteikumu projekta XII. nodaļa</w:t>
      </w:r>
      <w:r w:rsidR="00000000" w:rsidRPr="00000000" w:rsidDel="00000000">
        <w:rPr>
          <w:rtl w:val="0"/>
        </w:rPr>
        <w:t xml:space="preserve"> nosaka projekta īstenota un atbalsta saņēmēja atbildību.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noteikumu projektā noteikto prasību izpildes uzraudzību līgumā par transportlīdzekļa iegādi tiks noteikta kārtība kādā veidā notiek saistību izpilde un uzraudzība starp atbalsta saņēmēju un Vides investīciju fondu. Savukārt Vides investīciju fonds noteikumu projektā ietvertos nosacījumus kontrolēs izmantojot publiski pieejamās datubāzes, sadarbību ar citām valsts iestādēm (piemēram, CSDD), kā arī komunicējot ar projektu īstenotājiem un atbalsta saņēmējiem. Lēmums par finansējuma atgūšanu ir administratīvais akts un tā būtība ir nodrošināt līdzekļu atmaksu, ja netiek pildītas pirkuma līgumā noteiktās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Termini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Elektromobilis noteikumu projekta izpratnē ir mehāniskais transportlīdzeklis, kas pēc savas konstrukcijas kā vienīgo mehānisko dzinējspēku izmanto enerģiju no transportlīdzeklī glabātās elektroenerģijas vai dzinējspēka glabāšanas iekārtas (Ceļu satiksmes likums).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M1 - M kategorijas mehāniskie vieglie transportlīdzekļi, kuros papildus transportlīdzekļa vadītāja sēdvietai ir ne vairāk kā astoņas sēdvietas un nav paredzētas pasažieru stāvvietas, neatkarīgi no tā vai sēdvietu skaits ir ierobežots līdz transportlīdzekļa vadītāja sēdvietai.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N1- N kategorijas mehāniskie vieglie komerciālie transportlīdzekļi, kas paredzēti preču pārvadāšanai un kuru maksimālā masa nepārsniedz 3,5 tonnas.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Dubultfinansējums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dubultfinansējuma risku, atbalstāmās aktivitātes un attiecināmās izmaksas par vieniem un tiem pašiem M1 un N1 kategorijas elektromobiļiem fiziskā persona neiekļauj un nefinansē vairākos projektos. Projekta ietvaros uzraudzība notiek tikai par to M1 un N1 kategorijas elektromobili, kuri ir iekļauti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NEKP 3.1.1.7. pasākums paredz palielināt bezemisiju vieglo pasažieru transportlīdzekļu skaitu, proti, pasākuma ietvaros līdz 2030. gadam ir nepieciešams sasniegt 20 000 bezemisiju transportlīdzekļus, piesaistot ES fondu, EKII, Modernizācijas fonda un privāto finansējumu. Atbalsta programmas ietvaros indikatīvais atbalstāmo elektromobiļu skaits indikatīvi būtu 8328.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Maksimāli pieļaujamās SEG emisijas jaunajām mašīnām ES 2015. gadā ir 130 grami uz kilometru (g/km). Rezultātā aptuvenais SEG emisiju samazinājums ar projektu konkursa ietvaros iegādātajiem transportlīdzekļiem būtu ap 12,9 tūkst. tCO</w:t>
      </w:r>
      <w:r w:rsidR="00000000" w:rsidRPr="00000000" w:rsidDel="00000000">
        <w:rPr>
          <w:vertAlign w:val="subscript"/>
          <w:rtl w:val="0"/>
        </w:rPr>
        <w:t xml:space="preserve">2</w:t>
      </w:r>
      <w:r w:rsidR="00000000" w:rsidRPr="00000000" w:rsidDel="00000000">
        <w:rPr>
          <w:rtl w:val="0"/>
        </w:rPr>
        <w:t xml:space="preserve"> gadā jeb 64,7 tūkst. tCO</w:t>
      </w:r>
      <w:r w:rsidR="00000000" w:rsidRPr="00000000" w:rsidDel="00000000">
        <w:rPr>
          <w:vertAlign w:val="subscript"/>
          <w:rtl w:val="0"/>
        </w:rPr>
        <w:t xml:space="preserve">2</w:t>
      </w:r>
      <w:r w:rsidR="00000000" w:rsidRPr="00000000" w:rsidDel="00000000">
        <w:rPr>
          <w:rtl w:val="0"/>
        </w:rPr>
        <w:t xml:space="preserve"> monitoringa periodā (pieci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Indikatīvais efektivitātes rādītājs (EKII finansējums,</w:t>
      </w:r>
      <w:r w:rsidR="00000000" w:rsidRPr="00000000" w:rsidDel="00000000">
        <w:rPr>
          <w:i w:val="1"/>
          <w:rtl w:val="0"/>
        </w:rPr>
        <w:t xml:space="preserve"> euro</w:t>
      </w:r>
      <w:r w:rsidR="00000000" w:rsidRPr="00000000" w:rsidDel="00000000">
        <w:rPr>
          <w:rtl w:val="0"/>
        </w:rPr>
        <w:t xml:space="preserve"> pret CO</w:t>
      </w:r>
      <w:r w:rsidR="00000000" w:rsidRPr="00000000" w:rsidDel="00000000">
        <w:rPr>
          <w:vertAlign w:val="subscript"/>
          <w:rtl w:val="0"/>
        </w:rPr>
        <w:t xml:space="preserve">2</w:t>
      </w:r>
      <w:r w:rsidR="00000000" w:rsidRPr="00000000" w:rsidDel="00000000">
        <w:rPr>
          <w:rtl w:val="0"/>
        </w:rPr>
        <w:t xml:space="preserve"> emisiju samazinājumu, tCO</w:t>
      </w:r>
      <w:r w:rsidR="00000000" w:rsidRPr="00000000" w:rsidDel="00000000">
        <w:rPr>
          <w:vertAlign w:val="subscript"/>
          <w:rtl w:val="0"/>
        </w:rPr>
        <w:t xml:space="preserve">2</w:t>
      </w:r>
      <w:r w:rsidR="00000000" w:rsidRPr="00000000" w:rsidDel="00000000">
        <w:rPr>
          <w:rtl w:val="0"/>
        </w:rPr>
        <w:t xml:space="preserve">) būs aptuveni 0,32 kgCO</w:t>
      </w:r>
      <w:r w:rsidR="00000000" w:rsidRPr="00000000" w:rsidDel="00000000">
        <w:rPr>
          <w:vertAlign w:val="subscript"/>
          <w:rtl w:val="0"/>
        </w:rPr>
        <w:t xml:space="preserve">2</w:t>
      </w:r>
      <w:r w:rsidR="00000000" w:rsidRPr="00000000" w:rsidDel="00000000">
        <w:rPr>
          <w:rtl w:val="0"/>
        </w:rPr>
        <w:t xml:space="preserve">/EUR gadā jeb 1,62 kgCO</w:t>
      </w:r>
      <w:r w:rsidR="00000000" w:rsidRPr="00000000" w:rsidDel="00000000">
        <w:rPr>
          <w:vertAlign w:val="subscript"/>
          <w:rtl w:val="0"/>
        </w:rPr>
        <w:t xml:space="preserve">2</w:t>
      </w:r>
      <w:r w:rsidR="00000000" w:rsidRPr="00000000" w:rsidDel="00000000">
        <w:rPr>
          <w:rtl w:val="0"/>
        </w:rPr>
        <w:t xml:space="preserve">/EUR monitoringa perioda ietvaros. Par izmantoto EKII līdzekļu efektivitāti nevar spriest tikai pēc efektivitātes rādītāja (</w:t>
      </w:r>
      <w:r w:rsidR="00000000" w:rsidRPr="00000000" w:rsidDel="00000000">
        <w:rPr>
          <w:i w:val="1"/>
          <w:rtl w:val="0"/>
        </w:rPr>
        <w:t xml:space="preserve">euro</w:t>
      </w:r>
      <w:r w:rsidR="00000000" w:rsidRPr="00000000" w:rsidDel="00000000">
        <w:rPr>
          <w:rtl w:val="0"/>
        </w:rPr>
        <w:t xml:space="preserve">/tCO</w:t>
      </w:r>
      <w:r w:rsidR="00000000" w:rsidRPr="00000000" w:rsidDel="00000000">
        <w:rPr>
          <w:vertAlign w:val="subscript"/>
          <w:rtl w:val="0"/>
        </w:rPr>
        <w:t xml:space="preserve">2</w:t>
      </w:r>
      <w:r w:rsidR="00000000" w:rsidRPr="00000000" w:rsidDel="00000000">
        <w:rPr>
          <w:rtl w:val="0"/>
        </w:rPr>
        <w:t xml:space="preserve">), jo būtiski ņemt vērā ne vien tiešos SEG emisiju samazinājumus, bet arī netiešos SEG emisiju samazinājumus, kas iespējami dēļ multiplikatīvā efekta. Tas sevišķi svarīgi, jo klimata politikas mērķu sasniegšanai nepieciešamas pakāpeniskas, visaptverošas un būtiskas izmaiņas tautsaimniecībā un iedzīvotāju dzīvesveidā un to nav iespējams panākt tikai līdzfinansējot atsevišķus viena veida projektus.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Valsts atbalsta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atbalsta shēmai nepiemīt nozaru raksturs, jo saskaņā ar konkursa nolikuma prasībām nav noteikts konkrēts atbalsta saņēmēja saimnieciskās darbības aptvērums, proti, atbalstu var saņemt ikviens Latvijas iedzīvotājs, kā arī nav noteiktas elektromobiļu vai ārēji lādējamo hibrīdauto tehniskās prasības, izgatavotājs vai modelis, proti, atbalsta saņēmējs pats var izvēlēties sev pieņemamāko elektromobili vai ārēji lādējamo hibrīdauto.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Atbalsta saņēmēja (fiziskas personas) līmenī nav saskatāms komercdarbības atbalsts, ņemot vērā to, ka atbalstu darbībām, kas nav saimnieciska rakstura, proti, nav saistītas ar preču vai pakalpojumu piedāvāšanu tirgū, neuzskata par komercdarbības atbalstu, proti, ja bezemisiju vai mazemisiju transportlīdzekļi tiek izmantoti privātām (personiskām vai ģimenes) vajadzībām, ko veic personas, kas ir to īpašnieki un kas nav iesaistītas saimnieciskajā darbībā, atbalsta pasākums nebūtu uzskatāms par komercdarbības atbalstu elektromobiļa pircējam. Noteikuma projektā iekļauta atsauce uz to, ka ar atbalstu iegādāto transportlīdzekli nedrīkst izmantot saimnieciskajā darbībā vismaz piecus gadus pēc transportlīdzekļa iegādes datuma, tādējādi nodrošinot, ka nav jāpiemēro komercdarbības atbalsta kontroles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2022. gada 10. janvārī iesniedza Eiropas Komisijai atbalsta programmas paziņojumu (turpmāk - paziņojums), izmantojot Eiropas Komisijas elektroniskās paziņošanas sistēmu SANI2. Paziņojums tika reģistrēts kā lieta Nr.SA.101425 (2022/N) –</w:t>
      </w:r>
      <w:r w:rsidR="00000000" w:rsidRPr="00000000" w:rsidDel="00000000">
        <w:rPr>
          <w:i w:val="1"/>
          <w:rtl w:val="0"/>
        </w:rPr>
        <w:t xml:space="preserve"> Latvia Reducing greenhouse gas emissions in the transport sector - support for the purchase of zero - emission and low - emission vehicles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7. martā Latvija saņēma Eiropas Komisijas 2022. gada 4. marta vēstuli (turpmāk - Vēstule) lietā Nr.SA.101425 (2022/N) –</w:t>
      </w:r>
      <w:r w:rsidR="00000000" w:rsidRPr="00000000" w:rsidDel="00000000">
        <w:rPr>
          <w:i w:val="1"/>
          <w:rtl w:val="0"/>
        </w:rPr>
        <w:t xml:space="preserve"> Latvia Reducing greenhouse gas emissions in the transport sector - support for the purchase of zero - emission and low - emission vehicles</w:t>
      </w:r>
      <w:r w:rsidR="00000000" w:rsidRPr="00000000" w:rsidDel="00000000">
        <w:rPr>
          <w:rtl w:val="0"/>
        </w:rPr>
        <w:t xml:space="preserve">. Eiropas Komisija Vēstulē ir secinājusi, ka gala labuma guvēju līmenī pasākums neietver komercdarbības atbalstu, jo atbalsts ir pieejams tikai fiziskām personām, kuras pērk un izmanto mazemisiju un bezemisiju transportlīdzekļus tikai privātai lietošanai, savukārt, transportlīdzekļu piegādātāju un tirgotāju līmenī varētu tikt kvalificēta tikai sekundāra ekonomiskā ietekme. Ministrijas ieskatā transportlīdzekļu piegādātājiem/tirgotājiem atbalsta programma nerada tiešu ekonomisku priekšrocību, jo tie nav atbalsta saņēmēji, tiem netiek piešķirti labvēlīgāki nosacījumi nekā tirgus apstākļos, atbalsta programma ir vispārēji pieejama un neselektīva attiecībā uz uzņēmumiem, un jebkāda ietekme uz uzņēmumu ieņēmumiem ir tikai netieša pieprasījuma pieauguma sekas, kas kvalificējama kā sekundāra ekonomiskā ietekme, nevis valsts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Vides investīciju fonda personas datu apstrādes pamatnolūkiem, tostarp personas datu apstrādes juridisko pamatojumu, personas datu glabāšanas ilgums, datu subjekta tiesības un citi nosacījumi tiek noteikti ar Vides investīciju fonda iekšējiem noteikumiem par datu privātuma politiku, kas ir publiski pieejami un pieejami ikvienam interesantam. Papildus, ņemot vērā, ka Vides investīciju fondam nepieciešams saņemt projekta iesniedzēja piekrišanu personas datu apstrādei, projekta iesniedzējs kopā ar projekta iesnieguma veidlapu iesniedz arī veidlapu personas datu apstrādei, kuru sagatavo atbilstoši Vides investīciju fonda tīmekļvietnē publicētajai veidnei.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pārbaudītu, vai atbalsta saņēmējs ir reģistrēts kā parādnieks Uzturlīdzekļu garantiju fonda administrācijas iesniedzēju un parādnieku reģistrā, kā rezultātā konkursa ietvaros nevar pretendēt uz finansējumu konkursa ietvaros atbalstāmo aktivitāšu īstenošanai, dati no Uzturlīdzekļu garantiju fonda iesniedzēju un parādnieku reģistra noteikumu projekta 16.8. apakšpunktā minētā nosacījuma pārbaudei tiks izgūti, izmantojot www.latvija.gov.lv pieejamo informāciju, kas tiek sniegta par Uzturlīdzekļu garantiju fonda parādniekiem saskaņā ar Uzturlīdzekļu garantiju fonda likuma 6.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fiziskas personas atbilstības pārbaudi noteikumu projekta 14. un 15. punkta prasībām Vides investīciju fonds izmantos publiski pieejamās datubāzes un Iekšlietu ministrijas Informācijas centra pārziņā esošo valsts informācijas sistēmu "Sodu reģistrs", kā arī fiziskās personas iesniegto apliecinājumu (noteikumu projekta 2. pielikums). Informācija tiks pārbaudīta par katru fizisku personu, kas iegādāsies transportlīdzekli konkursa ietvaros. Ņemot vērā, ka atbalsta sniegšana plānota vairāku gadu laikā, tad paredzams, ka pārbaudāmais informācijas apjoms būs samērīgs un atbilstošs konkursa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3153"/>
        <w:gridCol w:w="3090"/>
        <w:gridCol w:w="2947"/>
        <w:tblGridChange w:id="0">
          <w:tblGrid>
            <w:gridCol w:w="3153"/>
            <w:gridCol w:w="3090"/>
            <w:gridCol w:w="294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Personas dalības veids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Tiesību akta norma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r>
      <w:tr>
        <w:tc>
          <w:tcPr>
            <w:shd w:fill="ffffff"/>
            <w:vAlign w:val="center"/>
            <w:noWrap w:val="true"/>
            <w:vMerge w:val="restart"/>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iesniedzējs, atbalsta saņēmējs vai persona, kura ir valdes/padomes loceklis, prokūrists vai pilnvarotais pārstāvis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Krimināllikums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1</w:t>
            </w:r>
            <w:r w:rsidR="00000000" w:rsidRPr="00000000" w:rsidDel="00000000">
              <w:rPr>
                <w:sz w:val="24"/>
                <w:rtl w:val="0"/>
              </w:rPr>
              <w:t xml:space="preserve"> pants (Terorisms)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2</w:t>
            </w:r>
            <w:r w:rsidR="00000000" w:rsidRPr="00000000" w:rsidDel="00000000">
              <w:rPr>
                <w:sz w:val="24"/>
                <w:rtl w:val="0"/>
              </w:rPr>
              <w:t xml:space="preserve"> pants (Terorisma finansēšana)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4</w:t>
            </w:r>
            <w:r w:rsidR="00000000" w:rsidRPr="00000000" w:rsidDel="00000000">
              <w:rPr>
                <w:sz w:val="24"/>
                <w:rtl w:val="0"/>
              </w:rPr>
              <w:t xml:space="preserve"> pants (Personas vervēšana, apmācīšana terorismam)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w:t>
            </w:r>
            <w:r w:rsidR="00000000" w:rsidRPr="00000000" w:rsidDel="00000000">
              <w:rPr>
                <w:sz w:val="24"/>
                <w:vertAlign w:val="superscript"/>
                <w:rtl w:val="0"/>
              </w:rPr>
              <w:t xml:space="preserve">6</w:t>
            </w:r>
            <w:r w:rsidR="00000000" w:rsidRPr="00000000" w:rsidDel="00000000">
              <w:rPr>
                <w:sz w:val="24"/>
                <w:rtl w:val="0"/>
              </w:rPr>
              <w:t xml:space="preserve"> pants (Terorisma attaisnošana, draudi)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177. pants (Krāpšana)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179. pants (Piesavināšanās)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195. pants (Noziedzīgi iegūtu līdzekļu legalizēšana)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198. pants (Neatļauta labumu pieņemšana)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199. pants (Komerciālā uzpirkšana)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218. pants (Izvairīšanās no nodokļu nomaksas)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280. pants (Nodarbināšanas noteikumu pārkāpšana, 2.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320. pants (Kukuļņemšana)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321. pants (Kukuļa piesavināšanās)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323. pants (Kukuļdošana)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 pants (Neatļauta piedalīšanās mantiskos darījumos)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1 </w:t>
            </w:r>
            <w:r w:rsidR="00000000" w:rsidRPr="00000000" w:rsidDel="00000000">
              <w:rPr>
                <w:sz w:val="24"/>
                <w:rtl w:val="0"/>
              </w:rPr>
              <w:t xml:space="preserve">pants (Tirgošanās ar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2</w:t>
            </w:r>
            <w:r w:rsidR="00000000" w:rsidRPr="00000000" w:rsidDel="00000000">
              <w:rPr>
                <w:sz w:val="24"/>
                <w:rtl w:val="0"/>
              </w:rPr>
              <w:t xml:space="preserve"> pants (Prettiesiska labumu pieprasīšana)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326.</w:t>
            </w:r>
            <w:r w:rsidR="00000000" w:rsidRPr="00000000" w:rsidDel="00000000">
              <w:rPr>
                <w:sz w:val="24"/>
                <w:vertAlign w:val="superscript"/>
                <w:rtl w:val="0"/>
              </w:rPr>
              <w:t xml:space="preserve">3</w:t>
            </w:r>
            <w:r w:rsidR="00000000" w:rsidRPr="00000000" w:rsidDel="00000000">
              <w:rPr>
                <w:sz w:val="24"/>
                <w:rtl w:val="0"/>
              </w:rPr>
              <w:t xml:space="preserve"> pants (Prettiesiska labumu 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Likums "Par nodokļiem un nodevām”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142. panta otrā daļa (Informatīvo deklarāciju iesniegšanas termiņu neievērošana)</w:t>
            </w:r>
          </w:p>
        </w:tc>
      </w:tr>
      <w:tr>
        <w:tc>
          <w:tcPr>
            <w:shd w:fill="ffffff"/>
            <w:vAlign w:val="center"/>
            <w:noWrap w:val="true"/>
            <w:vMerge w:val="continue"/>
            <w:gridSpan w:val="1"/>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Darba likums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158. pants. Darba līguma nenoslēgšana rakstveida formā</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attiecas uz noteikumu projekta 16. punktā noteikto kvalificējošo kritēriju pārbaudi, Vides investīciju fonds informāciju iegūst no Iekšlietu ministrijas Informācijas centra pārziņā esošās valsts informācijas sistēmas "Sodu reģistrs". Kas attiecas uz administratīvo pārkāpumu pārbaudi, ņemot vērā līdzšinējo Vides investīciju fonda praksi un faktiskās funkcijas konkursa ietvaros, informācija no valsts informācijas sistēmas "Sodu reģistrs" tiek iegūta tikai tādā apjomā, lai pārliecinātos par projekta iesnieguma iesniedzēja atbilstību noteikumu projekta 16.7. apakšpunktā noteiktajiem kvalificējošajiem kritērijiem un lemtu par personas tiesībām pretendēt uz valsts atbalsta piešķiršanu. Vides investīciju fonds neiegūst un neapstrādā vispārīgu vai neierobežotu informāciju par visiem personai piemērotajiem administratīvajiem sodiem, bet tikai tādas ziņas, kurām ir tieša nozīme konkursa ietvaros pieņemamajam lēmumam, tādējādi nodrošinot personas datu apstrādes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norādāmā datu apstrāde balstās uz nepieciešamību pārbaudīt pieteicēju atbilstību konkursa nolikumam, ievērojot Vispārīgās datu aizsardzības regulas 6. panta 1. punkta (c) un (e) apakšpunktu. Apstrāde ir obligāta, lai novērstu finanšu līdzekļu izšķērdēšanu un nodrošinātu tiesiskumu atbalsta piešķiršanas procesā.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datu subjekti būs projektu iesniedzēji fiziskas personas, valdes vai padomes locekļi, prokūristi, pilnvarotie pārstāvji un patiesie labuma guvēji, pārbaudot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datu kategorijas - vārds, uzvārds, personas kods, informācija par sodāmību, nodokļu saistībām, maksātnespēju un piemērotajām starptautiskajām vai nacionālajām sankcijām. Pretendentu atbilstības izvērtēšana finansējuma saņemšanai un tiesisku šķēršļu izslēgšanai.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noteiktajiem atbalsta saņēmējiem, īstenojot projektus, ir jāņem vērā noteikumu projektā minētie nosacījumi par projektu īstenošanu, tai skaitā par projektiem pieejamo finansējuma apmēru, sasniedzamajiem rādītājiem, projektā atbalstāmajām darbībām un izmaksām, utt. Konkursa ietvaros Klimata un enerģētikas ministrija pildīs atbildīgās ministrijas funkcijas, savukārt pārvaldes uzdevumu izpildi veiks Vides investīciju fonds, kas veicot minētos uzdevumus būs KEM pārraudzībā.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noteiktajiem projektu iesniedzējiem, īstenojot projektus, ir jāņem vērā noteikumu projektā minētie nosacījumi par projektu īstenošanu, tai skaitā par projektiem pieejamo finansējuma apmēru, sasniedzamajiem rādītājiem, projektā atbalstāmajām darbībām un izmaksām, utt. Konkursa ietvaros Klimata un enerģētikas ministrija pildīs atbildīgās ministrijas funkcijas, savukārt pārvaldes uzdevumu izpildi veiks Vides investīciju fonds, kas veicot minētos uzdevumus būs KEM pārraudzībā.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projektam ir pozitīva ietekme uz elektromobiļu ražotājiem vai to oficiālajiem pārstāvjiem (CSDD pārziņā esošajā transportlīdzekļu un to vadītāju valsts reģistrā reģistrēta komersanta, kas normatīvajos aktos noteiktajā kārtībā ierīkojis un reģistrējis transportlīdzekļu tirdzniecības vietu un ko elektromobiļa ražotājs ir oficiāli pilnvarojis pārstāvēt tā intereses), potenciāli veicinot pieprasījumu pēc elektromobiļu iegādes salīdzinājumā ar situāciju, kurā atbalsts elektromobiļu iegādei attiecīgajai mērķgrupai netiktu piešķirts. No tā izriet, ka atbalsta programma sniedz priekšrocības komersantiem, kuri iegādājas elektromobiļus tālākpārdošanai, salīdzinājumā ar komersantiem, kuri tirdzniecībai elektromobiļus nepiedāvā.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2029</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Konkursa ietvaros pieejamais finansējums ir 40 000 000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kā konkursa ietvaros atbalstīto aktivitāšu ietvaros cenu amplitūda ir ļoti plaša un projekta iesniedzējs elektromobiļus, ūdeņraža automobiļus un ārēji lādējamaos hibrīdauto var izvēlēties pēc saviem ieskatiem, noteikumu projekts nosaka atbalsta intensitāti atbalstāmās aktivitātes īstenošanai atkarībā no projektu iesniedzēju grupas, vienlaikus noteikumu projekts paredz maksimāli pieejamo EKII finansējumu katras aktivitātes īstenošanai. Šāds nosacījums tiek piemērots, ņemot vērā ierobežoto konkursa īstenošanai pieejamo finansējumu, lai sniegtu iespēju konkursa ietvaros atbalstāmās aktivitātes īstenot pēc iespējas plašākam projektu iesniedzēju skaitam.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EKII finansējumu konkursa ietvaros apstiprināto projektu īstenošanai KEM pieprasīs no valsts budžeta programmas 80.00.00 "Nesadalītais finansējums Eiropas Savienības politiku instrumentu un pārējās ārvalstu finanšu palīdzības līdzfinansēto projektu un pasākumu īstenošanai", lai to ieplānotu KEM budžeta programmas 33.00.00 "Emisijas kvotu izsoļu ieņēmumu instrumenti" apakšprogrammā 33.02.00 "Emisijas kvotu izsolīšanas instrumenta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Līdzfinansējumu noteikumu projekta ietvaros atbalstāmo aktivitāšu īstenošanai projektu iesniedzēji nodrošinās no saviem vai piesaistītiem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https://tapportals.mk.gov.lv/public_participation/d63a9627-d704-4e85-900f-1c022e76c73a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nodrošināta, publicējot noteikumu projektu Vienotajā tiesību aktu projektu izstrādes un saskaņošanas portālā (TAP), nodrošinot iespēju sabiedrībai sniegt par to viedokli.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TAP publiskajā portālā, kas norisinājās no 2026. gada 10. februāra līdz 24. februārim, viedokli par noteikumu projektu izteica 74 fiziskas personas, biedrība "Zaļā brīvība" un ārpus TAP publiskā portāla viedoklis tika saņemts no "Latvijas Lielo pilsētu asociācija" (LLPA).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Saņemtie priekšlikumi galvenokārt tika vērsti uz lietotu elektromobiļu vecuma un nobraukuma griestu palielināšanu (līdz 200 000 km un līdz 10 gadiem), turklāt tika saņemti iebildumi par MK noteikumos noteiktajiem mazemisiju un bezemisiju automobiļu cenu griestiem, kur rosināja atcelt vai būtiski pārskatīt MK noteikumos noteiktās bāzes cenas. Tāpat saņemti ieteikumi par ārēji ladējamo hibrīdauto izslēgšanu no atbalsta programmas. Saņemti vairāki priekšlikumi no daudzbērnu ģimenēm par lielāku atbalsta apmēra  noteikšanu 6- vietīgu elektromobiļu iegādei, kā arī priekšlikumus paplašināt atbalsta saņēmēju loku, iekļaujot tajā arī ģimenes ar vienu vai diviem bērniem, lai veicinātu demogrāfisko stabilitāti. Papildus tam, tika saņemti priekšlikumi par papildus atbalsta piešķiršanu "Goda ģimenes" apliecības turētājiem, kuru aprūpē ir bērns - invalīds. Publiskās apspriešanas laikā saņemti ieteikumi paredzēt papildu atbalstu arī gadījumos, kad iekšdedzes dzinēja transportlīdzeklis tiek nodots Ukrainas atbalstam, valsts aizsardzības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 ir izvērtējusi saņemtos iebildumus un priekšlikumus, tos daļēji ņemot vērā un atbilstoši precizējot noteikumu projektu. Noteikumu projekts tika papildināts ar nosacījumu par atbalsta saņēmēja tiesībām sniegt tiešu atbalstu Ukrainas valsts aizsardzībai. Papildinājums paredz iespēju Ukrainas bruņotajiem spēkiem bezatlīdzības kārtībā nodot vienu atbalsta saņēmēja īpašumā esošu M1 vai N1 kategorijas transportlīdzekli.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"Vides investīciju fonds"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SIA "Vides investīciju fonds"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Uzdevumus, kas saistīti ar projektu iesniegumu pieņemšanu, vērtēšanu, apstiprināšanu un finanšu instrumenta finansējuma piešķiršanu, kā arī par līgumu par projekta īstenošanu sagatavošanu, noslēgšanu, grozīšanu un laušanu, projektu pārskatu pārbaudi un projektu īstenošanas kontroli, veiksVides investīciju fonds. Finansējuma apjoms tiks aprēķināts atbilstoši iesniegto projektu iesniegumu skaitam un paredzēts ikgadējā Atsevišķu pārvaldes uzdevumu deleģēšanas līgumā. Izmaksas tiks segtas no apakšprogrammas 33.01.00 "Emisijas kvotu izsolīšanas instrumenta administrācija".</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noteikumu projektā plānotās aktivitātes tiks veicināta Nacionālajā attīstības plānā 2027.gadam šādu progresa indikatoru sasniegšana: [271] SEG emisiju intensitāte, [273] Gaisa piesārņojuma % samazinājums un [309] No AER saražotās enerģijas īpatsvars kopējā enerģijas galapatēriņā.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īstenoti projekti, kas nodrošinās iedzīvotāju mobilitāti, sniedzot pienesumu klimata pārmaiņu un gaisa piesārņojuma mazināšanā, kas sekmēs gaisa kvalitātes uzlabošanos.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apstiprināšanas gadījumā tiks īstenoti projekti, kas sniegs pienesumu klimata pārmaiņu un gaisa piesārņojuma mazināšanā, kas sekmēs SEG emisiju samazināšanos.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Vides investīciju fonda personas datu apstrādes pamatnolūkiem, tostarp personas datu apstrādes juridisko pamatojumu, personas datu glabāšanas ilgums, datu subjekta tiesības un citi nosacījumi tiek noteikti ar Vides investīciju fonda iekšējiem noteikumiem par datu privātuma politiku, kas ir publiski pieejami, pieejami ikvienam interesantam un sagatavoti atbilstoši katram nolūkam.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2016. gada 27. aprīļa Regulas (ES) 2016/679 par fizisku personu aizsardzību attiecībā uz personas datu apstrādi un šādu datu brīvu apriti un ar ko atceļ Direktīvu 95/46/EK (Vispārīgā datu aizsardzības regula) 10. pants par personas datu par sodāmību un pārkāpumiem apstrādē noteic, ka personas datu apstrādi par sodāmību un pārkāpumiem vai ar tiem saistītiem drošības pasākumiem, pamatojoties uz 6. panta 1. punktu, veic tikai oficiālas iestādes kontrolē vai tad, ja apstrādi atļauj Savienības vai dalībvalsts tiesību akti, paredzot atbilstošas garantijas datu subjektu tiesībām un brīvībām. Jebkādu visaptverošu sodāmības reģistru uzglabā tikai oficiālas iestādes kontrolē.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Valsts pārvaldes iekārtas likuma 40. panta otro daļu privātpersonai pārvaldes uzdevumu var deleģēt ar ārēju normatīvo aktu un minētais deleģēšanas priekšmets nav iekļauts tādos, kurus publiska persona nevar deleģēt (likuma 41. panta otrā un trešā daļa), kā arī to, personas dati tiks apstrādāti atbilstoši to pamatnolūkam un normatīvajos aktos noteiktajai kārtībai.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25-TA-2646</w:t>
    </w:r>
    <w:r>
      <w:br/>
    </w:r>
    <w:r w:rsidR="00000000" w:rsidRPr="00000000" w:rsidDel="00000000">
      <w:rPr>
        <w:rtl w:val="0"/>
      </w:rPr>
      <w:t xml:space="preserve">Izdrukāts 29.07.2026. 23.25 - 7.0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25-TA-2646</w:t>
    </w:r>
    <w:r>
      <w:br/>
    </w:r>
    <w:r w:rsidR="00000000" w:rsidRPr="00000000" w:rsidDel="00000000">
      <w:rPr>
        <w:rtl w:val="0"/>
      </w:rPr>
      <w:t xml:space="preserve">Izdrukāts 29.07.2026. 23.25 - 7.0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anotācija_(ex_ante)_25-TA-2646.docx</dc:title>
</cp:coreProperties>
</file>

<file path=docProps/custom.xml><?xml version="1.0" encoding="utf-8"?>
<Properties xmlns="http://schemas.openxmlformats.org/officeDocument/2006/custom-properties" xmlns:vt="http://schemas.openxmlformats.org/officeDocument/2006/docPropsVTypes"/>
</file>