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Pašvaldības domes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informatīvo ziņojumu "Par vēlēšanu procesu nodrošināšanai nepieciešamo informācijas un komunikācijas tehnoloģiju, resursu apjomu un ilgtermiņa vīziju"" (23-TA-3158) (turpmāk - Ziņojums), kas saskaņā ar publisku pieejamo informāciju (https://tapportals.mk.gov.lv) tika pieņemts Ministru kabineta 2024. gada 30. janvāra sēdē.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nodalīt kompetenci starp Pilsonības un migrācijas lietu pārvaldi (turpmāk – PMLP) kā Vēlētāju reģistra pārzini un VRAA, kura no 2024. gada 1. septembra, būs Elektroniskā tiešsaistes vēlētāju reģistra (turpmāk - ETVR) pārzinis. Tāpat likumprojekts paredz precizēt esošo regulējumu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sākot ar 2024. gada 1. septembri, VRAA būs ETVR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PMLP ir Vēlētāju reģistra pārzinis. Saskaņā ar Ministru kabineta 2020.gada 26.februāra rīkojumu Nr.76 tika atbalstīts konceptuālajā ziņojumā “Par eID karti kā derīgu personu apliecinošu dokumentu Saeimas vēlēšanās” (turpmāk – konceptuālais ziņojums) ietvertais pirmais risinājums. Atbalstītā risinājuma mērķis bija izveidot  Vēlētāju reģistra informācijas sistēmas moduli  ETVR, lai vēlētāji Saeimas vēlēšanās varētu balsot, izmantojot arī personas apliecību (eID karti). Lai veicinātu vienotu vēlēšanu procesu attīstību, konceptuālajā ziņojumā tika paredzēts, ka ETVR tiks izmantots ne tikai Saeimas vēlēšanās, bet arī Eiropas Parlamenta vēlēšanās un pašvaldības domes vēlēšanās. Ievērojot minēto, 2021.gada pašvaldības domes vēlēšanās un 14.Saeimas vēlēšanās sekmīgi tika izmantots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noteikto, sākot ar 2024.gada 1.septembri ETVR kā atsevišķa informācijas sistēma tiks nodota VRAA pārziņā. Līdz ar to, Pašvaldības domes vēlēšanu likumā ir nepieciešams precizēt Vēlētāju reģistra un ETVR darbības ietvaru, paredzot VRAA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Ziņojumā noteikto attiecībā uz Vēlētāju reģistra un ETVR darbības ietvaru, nepieciešams precizēt Pašvaldības domes vēlēšanu likuma normas, lai noteiktu ETVR darbības ietvaru pašvaldības domes vēlēšanās.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Pašvaldības domes vēlēšanu likuma 28. panta otro un 2.</w:t>
      </w:r>
      <w:r w:rsidR="00000000" w:rsidRPr="00000000" w:rsidDel="00000000">
        <w:rPr>
          <w:vertAlign w:val="superscript"/>
          <w:rtl w:val="0"/>
        </w:rPr>
        <w:t xml:space="preserve">1</w:t>
      </w:r>
      <w:r w:rsidR="00000000" w:rsidRPr="00000000" w:rsidDel="00000000">
        <w:rPr>
          <w:rtl w:val="0"/>
        </w:rPr>
        <w:t xml:space="preserve"> daļu, 32. panta devīto daļu, 36.</w:t>
      </w:r>
      <w:r w:rsidR="00000000" w:rsidRPr="00000000" w:rsidDel="00000000">
        <w:rPr>
          <w:vertAlign w:val="superscript"/>
          <w:rtl w:val="0"/>
        </w:rPr>
        <w:t xml:space="preserve">1</w:t>
      </w:r>
      <w:r w:rsidR="00000000" w:rsidRPr="00000000" w:rsidDel="00000000">
        <w:rPr>
          <w:rtl w:val="0"/>
        </w:rPr>
        <w:t xml:space="preserve"> panta pirmo daļu, 36.</w:t>
      </w:r>
      <w:r w:rsidR="00000000" w:rsidRPr="00000000" w:rsidDel="00000000">
        <w:rPr>
          <w:vertAlign w:val="superscript"/>
          <w:rtl w:val="0"/>
        </w:rPr>
        <w:t xml:space="preserve">2</w:t>
      </w:r>
      <w:r w:rsidR="00000000" w:rsidRPr="00000000" w:rsidDel="00000000">
        <w:rPr>
          <w:rtl w:val="0"/>
        </w:rPr>
        <w:t xml:space="preserve"> panta pirmo un otro daļu, 36.</w:t>
      </w:r>
      <w:r w:rsidR="00000000" w:rsidRPr="00000000" w:rsidDel="00000000">
        <w:rPr>
          <w:vertAlign w:val="superscript"/>
          <w:rtl w:val="0"/>
        </w:rPr>
        <w:t xml:space="preserve">3</w:t>
      </w:r>
      <w:r w:rsidR="00000000" w:rsidRPr="00000000" w:rsidDel="00000000">
        <w:rPr>
          <w:rtl w:val="0"/>
        </w:rPr>
        <w:t xml:space="preserve"> pantu, 38.</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daļu. Minētie grozījumi paredz, ka turpmāk pārbaude, vai persona (vēlētājs) ir piedalījusies attiecīgajās vēlēšanās un atzīmes izdarīšana par vēlētāja dalību vēlēšanās būs izdarīta ETVR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neparedz grozīt Pašvaldības domes vēlēšanu likuma 32.</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1</w:t>
      </w:r>
      <w:r w:rsidR="00000000" w:rsidRPr="00000000" w:rsidDel="00000000">
        <w:rPr>
          <w:rtl w:val="0"/>
        </w:rPr>
        <w:t xml:space="preserve"> pantu, jo ieslodzījuma vietas administrācija un Centrālā vēlēšanu komisija nepieciešamo informāciju pārbauda Vēlētāju reģistrā. Abās tiesību normās iesnieguma pārbaudes termiņi ir noteikti tādi, kad vēlētāju datu apstrāde tiek nodrošināta tikai Vēlētāju reģistrā un netiek nodrošināta vēl vēlētāju datu apstrāde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vēlēšanu likums paredz pašvaldības domes vēlēšanu kandidātu datu atbilstības pārbaudi veikt, balstoties uz Vēlētāju reģistrā iekļauto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Kandidātu dati tiek pārbaudīti, vai persona bija reģistrēta attiecīgās pašvaldības administratīvajā teritorijā vismaz desmit mēnešus, vai sasniegusi 18 gadu vecumu, vai persona ir Latvijas pilsonis vai Eiropas Savienības pilsonis, kurš nav Latvijas pilsonis, bet ir reģistrēts Fizisko personu reģistrā. Tāpat tiek pārbaudīts, vai kandidātam likumā paredzētajā kārtībā tiesa ir nodibinājusi aizgādnību. Tātad kandidātam tiek pārbaudīti reģistrētas vai deklarētās dzīvesvietas adreses dati, dzimšanas datums vecuma noteikšanai, valstiskās piederības dati un rīcībspējas dati. Minēto datu pirmavots ir Fizisko personu reģistrs, kurā saskaņā ar Fizisko personu reģistra likuma 11. panta pirmo daļu tiek iekļautas un aktualizētas ziņas par personas deklarēto vai reģistrēto dzīvesvietas adresi, dzimšanas datumu, rīcībspēju un valstisko piederību.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likumprojekta 1. un 2. pants paredz veikt grozījumus Pašvaldības domes vēlēšanu likumā atbilstoši faktiskajai situācijai, nosakot, ka kandidātu dati tiks pārbaudīti Fizisko personu reģistrā, kas ir pārbaudes datu pirmavots.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pašvaldības domes vēlēšanās saskaņā ar Pašvaldības domes vēlēšanu likuma 8. panta pirmo daļu var kandidēt Latvijas pilsonis un Eiropas Savienības pilsonis, kurš nav Latvijas pilsonis, bet ir reģistrēts Fizisko personu reģistrā. Fizisko personu reģistrā saskaņā ar Fizisko personu reģistra likuma 4. panta pirmās daļas 1. punktu un 2. punkta "a" apakšpunktu tiek uzkrāts ziņas par Latvijas pilsoni un Eiropas Savienības pilsoni. Līdz ar to, likumprojekta 2. pants paredz noteikt nosacījumu, ka kandidāts ir svītrojams, ja tas nav reģistrēts Fizisko personu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Saeimas vēlēšanu likumā (24-TA-497)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Saeimas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Eiropas Parlamenta vēlēšanu likumā (24-TA-498)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Eiropas Parlamenta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Vietējo pašvaldību referendumu likumā (24-TA-500)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Vietējo pašvaldību referendumu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Vēlētāju reģistra likumā (24-TA-482)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Vēlētāju reģistra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2016. gada 14. jūnija noteikumi Nr. 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VRAA kompetenci regulējošos normatīvos aktus, kur jāparedz, ka VRAA kompetencē turpmāk būs arī ar vēlēšanām saistīto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24-TA-494</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24-TA-494</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anotācija_(ex_ante)_24-TA-494.docx</dc:title>
</cp:coreProperties>
</file>

<file path=docProps/custom.xml><?xml version="1.0" encoding="utf-8"?>
<Properties xmlns="http://schemas.openxmlformats.org/officeDocument/2006/custom-properties" xmlns:vt="http://schemas.openxmlformats.org/officeDocument/2006/docPropsVTypes"/>
</file>