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149 473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–595; 2024.gadā - 48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56 pilsonības pretendenti, t.sk., 1 viņu nepilngadīgais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73% ir krievs, 12% baltkrievs, 5% polis, kā arī uzbeks, armēnis, ukrainis, lietuvietis, latvietis.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47% - augstākā, 39% - vidējā, 12% - pamata, 2% - nav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55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anotācija_(ex_ante)_24-TA-292.docx</dc:title>
</cp:coreProperties>
</file>

<file path=docProps/custom.xml><?xml version="1.0" encoding="utf-8"?>
<Properties xmlns="http://schemas.openxmlformats.org/officeDocument/2006/custom-properties" xmlns:vt="http://schemas.openxmlformats.org/officeDocument/2006/docPropsVTypes"/>
</file>