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23. aprīļa noteikumos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2024. gada 23. aprīļa noteikumos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(turpmāk – grozījumu projekts) izstrādāts: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Eiropas Savienības fondu 2021.–2027. gada plānošanas perioda vadības likuma 19. panta 6. un 13. punktu, lai nodrošinātu sekmīgu un savlaicīgu Eiropas Savienības fondu līdzekļu apguvi un uz Valdības rīcības plāna Deklarācijas par Evikas Siliņas vadītā Ministru kabineta iecerēto darbību īstenošanai 35.4. pasākuma 2. punktā noteikto rezultātu "Administratīvā sloga mazināšana ESIF projektu finansējuma saņēmējiem projektu ieviešanā: [...] 2) pārskatītas un iespēju robežās mazinātas nacionālajos horizontālajos un specifisko atbalsta mērķu ieviešanu regulējošajos normatīvajos aktos noteiktās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kohēzijas politikas programmas 2021.–2027. gadam Grozījumiem Nr.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2025. gada 29. maija Ministru kabineta rīkojumu Nr. 314 (prot. Nr. 21 42. §) Grozījumiem Ministru kabineta 2021. gada 16. novembra rīkojumā Nr. 841 "Par Eiropas Savienības kohēzijas politikas programmu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Pamatojoties uz Finanšu ministrijas 05.02.2025. vēstuli Nr. 5.1-36/11-2/368 "Par vienkāršoto izmaksu metodiku izstrādi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2016. gada 20. septembra instrukcija Nr. 3 "Ārvalstu finanšu instrumentu finansētu civiltiesisku līgumu izstrādes un slēgšanas instrukcija valsts tiešās pārvaldes iestādēs" (turpmāk – Instrukcija) nosaka kārtību, kādā valsts tiešās pārvaldes iestādes izstrādā un slēdz piegādes līgumus, pakalpojumu līgumus un būvdarbu līgumus, kuru izpildi pilnībā vai daļēji finansē Eiropas Savienības struktūrfondi, Kohēzijas fonds, Eiropas Ekonomikas zonas finanšu instruments, Eiropas Kaimiņattiecību instruments, Norvēģijas finanšu instruments, Latvijas un Šveices sadarbības programma vai Iekšējās drošības fonds un Patvēruma, migrācijas un integrācijas fonds, kā arī citi ārvalstu finanšu instrumenti.  Instrukcijas nosacījumos ietverti šādi punkti, kuri rada riskus sociāla rakstura fondu projektu ieviešanu, tostarp var atstāt negatīvu ietekmi arī uz ekonomiku kopumā: 1) obligāts avansa maksājuma nodrošinājums, ja avanss ir 30 000 EUR vai lielāks (instrukcijas 96.1. apakšpunkts); 2) obligāti ieturējumi no katra starpmaksājuma līdz līguma pilnīgai izpildei (instrukcijas 61.2. apakšpunkts); 3) katrs starpmaksājums ir jānodrošina (instrukcijas 96.2.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Valsts kanceleja kā Eiropas Savienības fondu atbildīgā iestāde (turpmāk – atbildīgā iestāde), lai nodrošinātu sekmīgu 4.3.6.9. pasākuma "Ģimenei draudzīgas vides un sabiedrības veidošana un intervences psiholoģiskā un emocionālā noturīguma veicināšanai" īstenošanu, precizē MK noteikumu Nr. 258 5. punktu (sasniedzamie rādītāji), 6. punktu (rezultāta rādītājs), 7. punktu (attiecināmais finansējums), 22.1. apakšpunktu, kurā tiek noteiktas personāla izmaksas kā faktiskās izmaksas otrās kārtas ietvaros, 27.2. apakšpunktu (līgumu nodrošinājums) un 20.2.6. apakšpunktu, ietverot jauna digitālā risinājuma (moduļa) izstrādi un ieviešanu.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4.3.6.9. pasākuma "Ģimenei draudzīgas vides un sabiedrības veidošana un intervences psiholoģiskā un emocionālā noturīguma veicināšanai" sasniedzamos rādītājus un rezultāta rādītāju – bērni ar attīstības grūtībām, nepietiekamu attīstību vai tās veidošanās risku (kumulatīvais skaits), kuriem veicināta pozitīva attīstība un pašrealizācija (MK noteikumu Nr. 258 6. punkts), attiecināmais finansējums 7. punkts, vienlaikus precizējot MK noteikumu Nr. 258 21.2.5., 22.1., 23.3., 27.2. apakšpunktu un papildinot ar 20.2.6. un 21.2.6.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24. aprīļa noteikumi Nr. 258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īstenošanas noteikumi" (turpmāk – MK noteikumi Nr. 258) reglamentē kārtību, kādā īsteno 4.3.6.9. pasākumu, nosakot tā mērķi, plānoto un pieejamo finansējumu un nacionālā līdzfinansējuma likmi, prasības Eiropas Sociālā fonda Plus finansējuma saņēmējam, atbalstāmās darbības un attiecināmās izmaksas, kā arī personāla atlīdzības likmes piemērošanu projektu iesniegumu kārtām.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tika apstiprināti MK noteikumi Nr. 258 un uzsākta projektu iesniegumu atlase. 18.09. tika slēgts līgums par projekta 4.3.6.9/2/24/I/001 (2. kārta) īstenošanu un 02.10. tika noslēgts līgums ar CFLA par projekta Nr. 4.3.6.9/1/24/I/001 (1. kārta)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2024. gada 31. oktobra ES fondu tematiskās komitejas (ESFTK) sēdi, kuras laikā tika panākta konceptuāla vienošanās par vidusposma pārdaļu scenāriju un pieeju un Ministru kabineta 2024. gada 19. septembra ārkārtas sēdē lemto par valsts budžeta prioritātēm, kas finansējamas no ES fondu finansējuma, ir izstrādāti Programmas vidusposma grozījumi Nr. 3, kas apstiprināti ar 2025. gada 29. maija Ministru kabineta rīkojumu Nr. 314 (prot. Nr. 21 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elastības finansējuma samazinājumu, Valsts kancelejai noteiktais elastības finansējuma (ESF+ un Valsts budžeta) samazinājums 4.3.6.9. pasākumā kopā sastāda: </w:t>
      </w:r>
      <w:r w:rsidR="00000000" w:rsidRPr="00000000" w:rsidDel="00000000">
        <w:rPr>
          <w:b w:val="1"/>
          <w:rtl w:val="0"/>
        </w:rPr>
        <w:t xml:space="preserve">311 773</w:t>
      </w:r>
      <w:r w:rsidR="00000000" w:rsidRPr="00000000" w:rsidDel="00000000">
        <w:rPr>
          <w:rtl w:val="0"/>
        </w:rPr>
        <w:t xml:space="preserve"> EUR – pirmajai kārtai </w:t>
      </w:r>
      <w:r w:rsidR="00000000" w:rsidRPr="00000000" w:rsidDel="00000000">
        <w:rPr>
          <w:b w:val="1"/>
          <w:rtl w:val="0"/>
        </w:rPr>
        <w:t xml:space="preserve">204 177</w:t>
      </w:r>
      <w:r w:rsidR="00000000" w:rsidRPr="00000000" w:rsidDel="00000000">
        <w:rPr>
          <w:rtl w:val="0"/>
        </w:rPr>
        <w:t xml:space="preserve"> EUR, otrajai kārtai – </w:t>
      </w:r>
      <w:r w:rsidR="00000000" w:rsidRPr="00000000" w:rsidDel="00000000">
        <w:rPr>
          <w:b w:val="1"/>
          <w:rtl w:val="0"/>
        </w:rPr>
        <w:t xml:space="preserve">107 596</w:t>
      </w:r>
      <w:r w:rsidR="00000000" w:rsidRPr="00000000" w:rsidDel="00000000">
        <w:rPr>
          <w:rtl w:val="0"/>
        </w:rPr>
        <w:t xml:space="preserve">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ilgstošo MK noteikumu Nr. 258 saskaņošanas procesu un vēlo projektu uzsākšanu, tika konstatēts, ka var netikt sasniegti vidusposma rādītāji uz 31.12.2024. Vienlaikus pamatojoties uz izmaiņām metodoloģijas uzskaitē, kurā tika rēķinātas dalības reizes pasākuma aktivitātēs kopumā, jo pasākuma ietvaros tiek sniegts dažāda veida atbalsts bērniem līdz 18 gadu vecumam un to ģimenēm, un tiek uzskatīts, ka šajā projekta darbībā piedalījies bērns var piedalīties arī kādā citā projekta darbībā.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Unikālo dalībnieku uzskaite tiks veikta projekta darbību līmenī atbilstoši MK noteikumiem Nr. 258, kā arī pamatojoties uz izmaksu sadārdzinājumu atbilstoši inflācijas kalkulatoram un ņemot vērā to, ka pasākuma ietvaros tiek sniegts dažāda veida atbalsts bērniem līdz 18 gadu vecumam un to ģimenēm, tiek uzskatīts, ka šajā programmā piedalījies bērns var piedalīties arī kādā citā programmā (piemēram, pasākumā pirmās kārtas ietvaros). Pamatojoties uz šīm izmaiņām, tika rosināti grozījumi Darbības programmā, kurus EK 23.01.2025 ir apstiprinājusi Grozījumus Nr. 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Personāla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saskaņā ar regulas 2021/1060 55. panta 1. punktu un administratīvā sloga mazināšanai projekta vadības personāla izmaksu nodrošināšanai veica grozījumus MK noteikumos Nr. 258, paredzot atšķirīgu personāla izmaksu likmi – pasākuma pirmajā kārtā plāno kā vienu izmaksu pozīciju – vienoto likmi 13 procentu apmērā no pārējām šajos noteikumos 7.1. apakšpunktā minētajām projekta tiešajām attiecināmajām īstenošanas izmaksām, kas nav tiešās attiecināmās personāla izmaksas, pasākuma otrajā kārtā plāno kā projekta vadības un īstenošanas personāla izmaksu vienas vienības izmaksu standarta likmi. Minētās atbalstāmās darbības ietvaros ir attiecināmas finansējuma saņēmēja un sadarbības partnera projekta vadības personāla un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1. kārtas finansējuma saņēmējam neveidotos pārkompensācija, savukārt 2. kārtas finansējuma saņēmējam iztrūkums, katrā kārtā finansējuma saņēmējs plāno piemērot atšķirīgu personāla izmaksu likmi, paredzot MK noteikumu 258 22.1. apakšpunktā, pasākuma pirmajā kārtā plāno kā vienu izmaksu pozīciju – vienoto likmi 13 procentu apmērā no pārējām šajos noteikumos 7.1. apakšpunktā minētajām projekta tiešajām attiecināmajām īstenošanas izmaksām, kas nav tiešās attiecināmās personāla izmaksas, pasākuma otrajā kārtā plāno kā projekta vadības un īstenošanas personāla izmaksu vienas vienības izmaksu standarta likmi atbilstoši atbildīgās iestādēs apstiprinātajai vienkāršoto izmaksu metodikai.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projekta darbības, tika veikts pētījums Latvijā pieejamām agrīnām intervencēm bērniem ar dažādiem attīstības riskiem pirmsskolas vecumā, tostarp arī apzināts iespējamais pakalpojumu sniedzēju loks. Interesi iesaistīties sociālo pakalpojumu nodrošināšanā izrāda nevalstiskās organizācijas un citas organizācijas, kuru mērķis ir sniegt ieguldījumu veselības, izglītības vai sociālu jautājumu risināšanā, nevis gūt peļņu, un šādu pakalpojumu sniedzējiem avansa saņemšana ir būtiski nepieciešama, lai uzsāktu sociāla pakalpojuma līguma izpildi. Pakalpojumu sniedzējiem, kuri gatavi sabiedrībai nodrošināt sociālos pakalpojumus, prasības avansa maksājuma nodrošinājumus nespēj izpildīt, līdz ar to ļoti būtiski tiek ierobežots potenciālais pakalpojuma sniedzēja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sociālo pakalpojumu nodrošināšanā iesaistītajiem pakalpojumu sniedzējiem starpmaksājumi ir nepieciešami attiecīgā pakalpojuma nepārtrauktības nodrošināšanai līguma izpildes ietvaros, galvenokārt, lai segtu iesaistīto speciālistu atlīdzības izmaksas. Daudzos gadījumos līgumiem ir garš izpildes periods, līdz ar to katrs šāds ieturējums no starpmaksājumiem ļoti lielā mērā ietekmē šādu organizāciju spēju sniegt sociālus pakalpojumus, izmaksāt algas pasniedzējiem, veselības un izglītības jomas speciālistiem, pētniecības darbu līgumos arī pētniekiem vai citiem speciālistiem. Līdz ar to ieturējumi rada nesamērīgi lielu finansiālu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Starpmaksājumu, bez kuriem sociāla pakalpojuma sniedzēji nevar nodrošināt attiecīgā pakalpojuma nepārtrauktību un izmaksāt speciālistiem atlīdzības, nodrošināšana nav iespējama tā paša iemesla dēļ, kas minēts attiecībā uz avansa maksājuma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Digitālā risinājuma (moduļa) izstrāde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20.2.3. apakšpunktā minētās atbalstāmās darbības "Diskriminācijas un vardarbības mazināšana izglītības iestādēs un e-vidē" (turpmāk – 20.2.3. darbība) ietvaros pasākuma otrajā kārtā ir paredzēts izstrādāt un aprobēt diskriminācijas un vardarbības incidentu vadības sistēmu, kas palīdzētu izglītības iestādēm efektīvi fiksēt un vadīt šādus incidentus. Sistēma ietvertu vadlīnijas un procedūras incidentu fiksēšanai un vadībai, nodrošinot vienotu pieeju un uzlabojot incidentu uzskaiti un monitoringu.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MK noteikumu Nr. 258 redakciju, 20.2.3. darbības ietvaros pasākuma otrajā kārtā nav attiecināmas digitālā risinājuma (moduļa) izstrādes un ieviešanas izmaksas vardarbības un diskriminācijas gadījumu fiksēšanai un vadībai.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šāds modulis ir būtisks priekšnosacījums diskriminācijas un vardarbības incidentu vadības sistēmas ieviešanai izglītības iestādēs,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formātā organizēta incidentu pieteikumu apstrāde nav pietiekami efektīva un var radīt riskus mērķa sasniegšanā, jo tā radītu kavējumus incidenta gadījuma ziņošanā un incidenta gadījuma risināšanā, kā arī palielinātu risku, ka informācija tiktu pazaudēta vai nepilnīgi dokumentēta;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*papīra formāta incidentu pieteikumi neļauj viegli monitorēt un analizēt datus un identificēt tendences, kas ir būtiski, lai izstrādātu efektīvas intervences stratēģijas valstī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*tiešsaistes sistēmas nodrošina ātrāku un drošāku informācijas apmaiņu, kā arī labāku pārskatāmību un atbildību sadalījumu attiecīgā gadījuma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Moduļa izstrādes un ieviešanas attiecināšana sniegtu ieguldījumu arī Digitālās transformācijas pamatnostādnēs 2021.–2027. gadam minētā izglītības digitalizācijai izvirzītā mērķu sasniegšanā: "Ieviesta datos balstīta izglītības nozares pārvaldība, tajā skaitā, nodrošinot izglītības procesu un kvalitātes monitoringu un analītiku, agrīnās brīdināšanas procesu, progresa snieguma mērīšanu, tālākās izglītības un karjeras attīstības iespēju prognozēšanu".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prakses izpēte[1] liecina: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un diskriminācijas gadījumu novēršanas sistēma, ir strukturēta pieeja, ko izmanto skolas, lai identificētu, ziņotu un pārvaldītu gadījumus, kur skolas vidē konstatēti diskriminācijas un vardarbības gadījumi. Šāda veida sistēmas parasti ietver tiešsaistes ziņošanas iespējas, datu pārvaldību, paziņojumus, intervences izsekošanu un citus aspektus. Tās mērķis ir radīt drošu un atbalstošu vidi, nodrošinot, ka šāda veida rīcības gadījumi tiek ātri risināti un dokumentēti;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*vardarbības un diskriminācijas gadījumu novēršanas sistēmas sāka gūt popularitāti 2000. gadu sākumā (piemēram, Somija, Apvienotā Karaliste, Itālija u.c.), kad pieauga izpratne par šāda veida gadījumu negatīvo ietekmi uz skolēnu garīgo veselību un akadēmisko sniegumu. Digitālo tehnoloģiju un interneta attīstība veicināja advancētāku tiešsaistes ziņošanas un datu pārvaldības rīku izstrādi, padarot šīs sistēmas pieejamākas un efektīvākas.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Izpēti veicis SIA Ernst&amp;Young BAC 13.01.2025. iepirkuma līguma Nr. 4.3-4/3 ietvaros par diskriminācijas un vardarbības incidentu vadības sistēmas izglītības iestādēs izstrādi un aprobāciju.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grozījumiem Eiropas Kohēzijas politikas programmā 2021.–2027. gadam (EIROPAS SAVIENĪBAS FONDU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2021.–2027. GADA PLĀNOŠANAS PERIODA UZRAUDZĪBAS KOMITEJAS Lēmums 2025/5.2-6/16/38 "Par grozījumiem Eiropas Kohēzijas politikas programmā 2021.–2027.gadam") un 2025. gada 29. maija Ministru kabineta rīkojumu Nr. 314 (prot. Nr. 21 42. §) Grozījumiem Ministru kabineta 2021. gada 16. novembra rīkojumā Nr. 841 "Par Eiropas Savienības kohēzijas politikas programmu 2021.–2027. gadam" un elastības finansējuma samazinājumu, nepieciešams veikt grozījumus MK noteikumos Nr. 258.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Personāla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bija izstrādājusi Eiropas Savienības kohēzijas politikas programmas 2021.–2027. gadam 4.3.6. specifiskā atbalsta mērķa "Veicināt nabadzības vai sociālās atstumtības riskam pakļauto cilvēku, tostarp vistrūcīgāko un bērnu, sociālo integrāciju" 4.3.6.9. pasākuma "Ģimenei draudzīgas vides un sabiedrības veidošana un intervences psiholoģiskā un emocionālā noturīguma veicināšanai" 2. kārtas projekta vadības un īstenošanas personāla izmaksu vienas vienības standarta likmes aprēķina un piemērošanas metodiku, kas tika iesniegta Finanšu ministrijā saskaņošanai. Pēc vairākiem saskaņošanas apļiem, tika saņemta Finanšu ministrijas 05.02.2025. vēstule Nr. 5.1-36/11-2/368 </w:t>
      </w:r>
      <w:r w:rsidR="00000000" w:rsidRPr="00000000" w:rsidDel="00000000">
        <w:rPr>
          <w:i w:val="1"/>
          <w:rtl w:val="0"/>
        </w:rPr>
        <w:t xml:space="preserve">"</w:t>
      </w:r>
      <w:r w:rsidR="00000000" w:rsidRPr="00000000" w:rsidDel="00000000">
        <w:rPr>
          <w:rtl w:val="0"/>
        </w:rPr>
        <w:t xml:space="preserve">Par vienkāršoto izmaksu metodiku izstrādi personāla izmaksām",</w:t>
      </w:r>
      <w:r w:rsidR="00000000" w:rsidRPr="00000000" w:rsidDel="00000000">
        <w:rPr>
          <w:i w:val="1"/>
          <w:rtl w:val="0"/>
        </w:rPr>
        <w:t xml:space="preserve"> </w:t>
      </w:r>
      <w:r w:rsidR="00000000" w:rsidRPr="00000000" w:rsidDel="00000000">
        <w:rPr>
          <w:rtl w:val="0"/>
        </w:rPr>
        <w:t xml:space="preserve">kurā Valsts kanceleja tika informēta, ka  ņemot vērā, ka joprojām valsts pārvaldē kopumā ir samērā būtiski atšķirīgs atalgojums starp iestādēm, t.sk. viena resora ietvaros par līdzīgu vai analogu pienākumu veikšanu, </w:t>
      </w:r>
      <w:r w:rsidR="00000000" w:rsidRPr="00000000" w:rsidDel="00000000">
        <w:rPr>
          <w:b w:val="1"/>
          <w:rtl w:val="0"/>
        </w:rPr>
        <w:t xml:space="preserve">vadošā iestāde turpmāk atbalsta divu veidu pieeju projekta vadības personāla izmaksu attiecināšanu projektu līmenī – Regulas 2021/1060  55. panta izpratnē vai faktisko izmaksu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grozījumiem Eiropas Savienības kohēzijas politikas programmas 2021.–2027.gadam Grozījumiem Nr. 2 un lai salāgotu MK noteikumus Nr. 258 ar Darbības programmu, nepieciešams veikt grozījumus MK noteikumos Nr. 258, precizējot iznākuma un rezultāta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nodrošināšanā iesaistītajiem pakalpojumu sniedzējiem starpmaksājumi ir nepieciešami attiecīgā pakalpojuma nepārtrauktības nodrošināšanai līguma izpildes ietvaros, galvenokārt, lai segtu iesaistīto speciālistu atlīdzības izmaksas. Daudzos gadījumos līgumiem ir garš izpildes periods, līdz ar to katrs šāds ieturējums no starpmaksājumiem ļoti lielā mērā ietekmē šādu organizāciju spēju sniegt sociālus pakalpojumus, izmaksāt algas pasniedzējiem, veselības un izglītības jomas speciālistiem, pētniecības darbu līgumos arī pētniekiem vai citiem speciālistiem. Līdz ar to ieturējumi rada nesamērīgi lielu finansiālu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Starpmaksājumu, bez kuriem sociāla pakalpojuma sniedzēji nevar nodrošināt attiecīgā pakalpojuma nepārtrauktību un izmaksāt speciālistiem atlīdzības, nodrošināšana nav iespējama tā paša iemesla dēļ, kas minēts attiecībā uz avansa maksājuma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Digitālais risinājums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Moduļa izstrādes un ieviešanas attiecināšanas mērķis būtu sniegt atbalstu izglītības iestādēm diskriminācijas un vardarbības risku un incidentu drošai un ātrai identificēšanai un mazināšanai skolas vidē un e-vidē skolā.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Attiecināmais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w:t>
      </w:r>
      <w:r w:rsidR="00000000" w:rsidRPr="00000000" w:rsidDel="00000000">
        <w:rPr>
          <w:b w:val="1"/>
          <w:rtl w:val="0"/>
        </w:rPr>
        <w:t xml:space="preserve">tiek samazināts attiecināmais finansējums </w:t>
      </w:r>
      <w:r w:rsidR="00000000" w:rsidRPr="00000000" w:rsidDel="00000000">
        <w:rPr>
          <w:rtl w:val="0"/>
        </w:rPr>
        <w:t xml:space="preserve">gan kopumā, gan sadalījumā pa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plānotais kopējais attiecināmais finansējums ir 14 913 228 </w:t>
      </w:r>
      <w:r w:rsidR="00000000" w:rsidRPr="00000000" w:rsidDel="00000000">
        <w:rPr>
          <w:i w:val="1"/>
          <w:rtl w:val="0"/>
        </w:rPr>
        <w:t xml:space="preserve">euro </w:t>
      </w:r>
      <w:r w:rsidR="00000000" w:rsidRPr="00000000" w:rsidDel="00000000">
        <w:rPr>
          <w:rtl w:val="0"/>
        </w:rPr>
        <w:t xml:space="preserve">(no tā elastības finansējums 2 090 352 </w:t>
      </w:r>
      <w:r w:rsidR="00000000" w:rsidRPr="00000000" w:rsidDel="00000000">
        <w:rPr>
          <w:i w:val="1"/>
          <w:rtl w:val="0"/>
        </w:rPr>
        <w:t xml:space="preserve">euro</w:t>
      </w:r>
      <w:r w:rsidR="00000000" w:rsidRPr="00000000" w:rsidDel="00000000">
        <w:rPr>
          <w:rtl w:val="0"/>
        </w:rPr>
        <w:t xml:space="preserve">), tai skaitā Eiropas Sociālā fonda Plus finansējums 12 676 243 </w:t>
      </w:r>
      <w:r w:rsidR="00000000" w:rsidRPr="00000000" w:rsidDel="00000000">
        <w:rPr>
          <w:i w:val="1"/>
          <w:rtl w:val="0"/>
        </w:rPr>
        <w:t xml:space="preserve">euro </w:t>
      </w:r>
      <w:r w:rsidR="00000000" w:rsidRPr="00000000" w:rsidDel="00000000">
        <w:rPr>
          <w:rtl w:val="0"/>
        </w:rPr>
        <w:t xml:space="preserve">(no tā elastības finansējums 1 776 800 </w:t>
      </w:r>
      <w:r w:rsidR="00000000" w:rsidRPr="00000000" w:rsidDel="00000000">
        <w:rPr>
          <w:i w:val="1"/>
          <w:rtl w:val="0"/>
        </w:rPr>
        <w:t xml:space="preserve">euro</w:t>
      </w:r>
      <w:r w:rsidR="00000000" w:rsidRPr="00000000" w:rsidDel="00000000">
        <w:rPr>
          <w:rtl w:val="0"/>
        </w:rPr>
        <w:t xml:space="preserve">) un valsts budžeta līdzfinansējums 2 236 985 </w:t>
      </w:r>
      <w:r w:rsidR="00000000" w:rsidRPr="00000000" w:rsidDel="00000000">
        <w:rPr>
          <w:i w:val="1"/>
          <w:rtl w:val="0"/>
        </w:rPr>
        <w:t xml:space="preserve">euro </w:t>
      </w:r>
      <w:r w:rsidR="00000000" w:rsidRPr="00000000" w:rsidDel="00000000">
        <w:rPr>
          <w:rtl w:val="0"/>
        </w:rPr>
        <w:t xml:space="preserve">(no tā elastības finansējums 313 552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pirmajā kārtā plānotais kopējais finansējums Sabiedrības integrācijas fondam ir 9 766 494 </w:t>
      </w:r>
      <w:r w:rsidR="00000000" w:rsidRPr="00000000" w:rsidDel="00000000">
        <w:rPr>
          <w:i w:val="1"/>
          <w:rtl w:val="0"/>
        </w:rPr>
        <w:t xml:space="preserve">euro</w:t>
      </w:r>
      <w:r w:rsidR="00000000" w:rsidRPr="00000000" w:rsidDel="00000000">
        <w:rPr>
          <w:rtl w:val="0"/>
        </w:rPr>
        <w:t xml:space="preserve">, ko veido Eiropas Sociālā fonda Plus finansējums 8 301 520 </w:t>
      </w:r>
      <w:r w:rsidR="00000000" w:rsidRPr="00000000" w:rsidDel="00000000">
        <w:rPr>
          <w:i w:val="1"/>
          <w:rtl w:val="0"/>
        </w:rPr>
        <w:t xml:space="preserve">euro </w:t>
      </w:r>
      <w:r w:rsidR="00000000" w:rsidRPr="00000000" w:rsidDel="00000000">
        <w:rPr>
          <w:rtl w:val="0"/>
        </w:rPr>
        <w:t xml:space="preserve">apmērā un valsts budžeta līdzfinansējums 1 464 974 </w:t>
      </w:r>
      <w:r w:rsidR="00000000" w:rsidRPr="00000000" w:rsidDel="00000000">
        <w:rPr>
          <w:i w:val="1"/>
          <w:rtl w:val="0"/>
        </w:rPr>
        <w:t xml:space="preserve">euro </w:t>
      </w:r>
      <w:r w:rsidR="00000000" w:rsidRPr="00000000" w:rsidDel="00000000">
        <w:rPr>
          <w:rtl w:val="0"/>
        </w:rPr>
        <w:t xml:space="preserve">apmērā. Projekta iesniegumā kopējo pieejamo finansējumu plāno ne vairāk kā 8 397 548 </w:t>
      </w:r>
      <w:r w:rsidR="00000000" w:rsidRPr="00000000" w:rsidDel="00000000">
        <w:rPr>
          <w:i w:val="1"/>
          <w:rtl w:val="0"/>
        </w:rPr>
        <w:t xml:space="preserve">euro </w:t>
      </w:r>
      <w:r w:rsidR="00000000" w:rsidRPr="00000000" w:rsidDel="00000000">
        <w:rPr>
          <w:rtl w:val="0"/>
        </w:rPr>
        <w:t xml:space="preserve">apmērā, ko veido Eiropas Sociālā fonda Plus finansējums 7 137 915 </w:t>
      </w:r>
      <w:r w:rsidR="00000000" w:rsidRPr="00000000" w:rsidDel="00000000">
        <w:rPr>
          <w:i w:val="1"/>
          <w:rtl w:val="0"/>
        </w:rPr>
        <w:t xml:space="preserve">euro </w:t>
      </w:r>
      <w:r w:rsidR="00000000" w:rsidRPr="00000000" w:rsidDel="00000000">
        <w:rPr>
          <w:rtl w:val="0"/>
        </w:rPr>
        <w:t xml:space="preserve">apmērā un valsts budžeta finansējums 1 259 633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otrajā kārtā plānotais kopējais finansējums Valsts kancelejai ir 5 146 734 </w:t>
      </w:r>
      <w:r w:rsidR="00000000" w:rsidRPr="00000000" w:rsidDel="00000000">
        <w:rPr>
          <w:i w:val="1"/>
          <w:rtl w:val="0"/>
        </w:rPr>
        <w:t xml:space="preserve">euro</w:t>
      </w:r>
      <w:r w:rsidR="00000000" w:rsidRPr="00000000" w:rsidDel="00000000">
        <w:rPr>
          <w:rtl w:val="0"/>
        </w:rPr>
        <w:t xml:space="preserve">, ko veido Eiropas Sociālā fonda Plus finansējums 4 374 723 </w:t>
      </w:r>
      <w:r w:rsidR="00000000" w:rsidRPr="00000000" w:rsidDel="00000000">
        <w:rPr>
          <w:i w:val="1"/>
          <w:rtl w:val="0"/>
        </w:rPr>
        <w:t xml:space="preserve">euro </w:t>
      </w:r>
      <w:r w:rsidR="00000000" w:rsidRPr="00000000" w:rsidDel="00000000">
        <w:rPr>
          <w:rtl w:val="0"/>
        </w:rPr>
        <w:t xml:space="preserve">apmērā un valsts budžeta līdzfinansējums 772 011 </w:t>
      </w:r>
      <w:r w:rsidR="00000000" w:rsidRPr="00000000" w:rsidDel="00000000">
        <w:rPr>
          <w:i w:val="1"/>
          <w:rtl w:val="0"/>
        </w:rPr>
        <w:t xml:space="preserve">euro </w:t>
      </w:r>
      <w:r w:rsidR="00000000" w:rsidRPr="00000000" w:rsidDel="00000000">
        <w:rPr>
          <w:rtl w:val="0"/>
        </w:rPr>
        <w:t xml:space="preserve">apmērā. Projekta iesniegumā kopējo pieejamo finansējumu plāno ne vairāk kā 4 425 328 </w:t>
      </w:r>
      <w:r w:rsidR="00000000" w:rsidRPr="00000000" w:rsidDel="00000000">
        <w:rPr>
          <w:i w:val="1"/>
          <w:rtl w:val="0"/>
        </w:rPr>
        <w:t xml:space="preserve">euro </w:t>
      </w:r>
      <w:r w:rsidR="00000000" w:rsidRPr="00000000" w:rsidDel="00000000">
        <w:rPr>
          <w:rtl w:val="0"/>
        </w:rPr>
        <w:t xml:space="preserve">apmērā, ko veido Eiropas Sociālā fonda Plus finansējums 3 761 528 </w:t>
      </w:r>
      <w:r w:rsidR="00000000" w:rsidRPr="00000000" w:rsidDel="00000000">
        <w:rPr>
          <w:i w:val="1"/>
          <w:rtl w:val="0"/>
        </w:rPr>
        <w:t xml:space="preserve">euro </w:t>
      </w:r>
      <w:r w:rsidR="00000000" w:rsidRPr="00000000" w:rsidDel="00000000">
        <w:rPr>
          <w:rtl w:val="0"/>
        </w:rPr>
        <w:t xml:space="preserve">apmērā un valsts budžeta līdzfinansējums 663 800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Personāla atalgojums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FM 05.02.2025. vēstuli Nr. 5.1-36/11-2/368 "Par vienkāršoto izmaksu metodiku izstrādi personāla izmaksām", tiek precizēts MK noteikumu Nr. 258 22.1. apakšpunkts, nosakot, ka tiešās attiecināmās personāla izmaksas, kuras veido šo noteikumu 20.5. apakšpunktā minētās atbalstāmās darbības attiecināmās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pasākuma pirmajā kārtā plāno kā vienu izmaksu pozīciju – vienoto likmi 13 procentu apmērā no pārējām šo noteikumu 7.1. apakšpunktā minētajām projekta tiešajām attiecināmajām īstenošanas izmaksām, kas nav tiešās attiecināmās personāla izmaksas, </w:t>
      </w:r>
      <w:r w:rsidR="00000000" w:rsidRPr="00000000" w:rsidDel="00000000">
        <w:rPr>
          <w:b w:val="1"/>
          <w:rtl w:val="0"/>
        </w:rPr>
        <w:t xml:space="preserve">pasākuma otrajā kārtā plāno  šo noteikumu 20.5. apakšpunktā minētās atbalstāmās darbības attiecināmās izmaksas kā faktiskās izmaksas. Minētās atbalstāmās darbības ietvaros ir attiecināmas finansējuma saņēmēja un sadarbības partnera projekta vadības personāla un īstenošanas personāla izmaksas, ja otrās kārtas ietvaros finansējuma saņēmēja un sadarbības partnera projekta vadības un īstenošanas personāla iesaiste projektā tiek nodrošināta saskaņā ar daļlaika izmaksu attiecināmības principu, attiecināma ir ne mazāka kā 30 procentu noslodze.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Eiropas Savienības kohēzijas politikas programmas 2021.–2027. gadam Grozījumiem Nr. 2, ar kuru groza Īstenošanas lēmumu C(2022) 8712, ar ko programmu "Eiropas Savienības kohēzijas politikas programma 2021.– 2027. gadam" apstiprina Eiropas Reģionālās attīstības fonda, Kohēzijas fonda, Eiropas Sociālā fonda Plus un Taisnīgas pārkārtošanās fonda atbalsta piešķiršanai saskaņā ar mērķi "Investīcijas nodarbinātībai un izaugsmei" Latvijā CCI 2021LV16FFPR001 (apstiprināti EK 23.01.2025., 2021.–2027. gada plānošanas dokumenti – ES fondi) tika samazināti </w:t>
      </w:r>
      <w:r w:rsidR="00000000" w:rsidRPr="00000000" w:rsidDel="00000000">
        <w:rPr>
          <w:b w:val="1"/>
          <w:rtl w:val="0"/>
        </w:rPr>
        <w:t xml:space="preserve">iznākuma rādītāji:</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sasniedzami šādi</w:t>
      </w:r>
      <w:r w:rsidR="00000000" w:rsidRPr="00000000" w:rsidDel="00000000">
        <w:rPr>
          <w:b w:val="1"/>
          <w:rtl w:val="0"/>
        </w:rPr>
        <w:t xml:space="preserv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pirmās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saņēmušo bērnu skaits vecumā līdz 18 gadiem – no 1500 uz 985;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kārtas ietvaros līdz 2029.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saņēmušo bērnu skaits vecumā līdz 18 gadiem – no 4500 uz 3600;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otrās kārtas ietvaros līdz 2029. gada 31. 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atbalstu saņēmušo bērnu skaits vecumā līdz 18 gadiem – no 4000 uz 3300.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līdz 2029. gada 31. decembrim sasniedzams šāds </w:t>
      </w:r>
      <w:r w:rsidR="00000000" w:rsidRPr="00000000" w:rsidDel="00000000">
        <w:rPr>
          <w:b w:val="1"/>
          <w:rtl w:val="0"/>
        </w:rPr>
        <w:t xml:space="preserve">rezultāta rādītājs</w:t>
      </w:r>
      <w:r w:rsidR="00000000" w:rsidRPr="00000000" w:rsidDel="00000000">
        <w:rPr>
          <w:rtl w:val="0"/>
        </w:rPr>
        <w:t xml:space="preserve"> – bērni ar attīstības grūtībām, nepietiekamu attīstību vai tās veidošanās risku (kumulatīvais skaits), kuriem veicināta pozitīva attīstība un pašrealizācija, – no 8500 uz 6900: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pirmās kārtas ietvaros atbalstu saņēmušo bērnu skaits vecumā līdz 18 gadiem – no 4500 uz 3600;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otrās kārtas ietvaros atbalstu saņēmušo bērnu skaits vecumā līdz 18 gadiem – no 4000 uz  3300.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neradītu nesamērīgi lielu finansiālu slogu pakalpojuma sniedzējiem, tiek veikti grozījumi MK noteikumu Nr. 258 27.2.apakšpunktā, nosakot, ka pakalpojumu (uzņēmuma) līgumos, kurus slēdz šo noteikumu 20. punktā minēto atbalstāmo darbību īstenošanai, atkarībā no līguma veida un satura var paredzēt avansa maksājumus ne vairāk kā 20 procentu apmērā (tajā skaitā nepiemērojot instrukciju "Ārvalstu finanšu instrumentu finansētu civiltiesisku līgumu izstrādes un slēgšanas instrukcija valsts tiešās pārvaldes iestādēs") no attiecīgā līguma summas (ieskaitot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Digitālais risinājums (modulis)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modulis vardarbības incidentu vadībai nodrošinātu skolām iespēju sistemātiski risināt vardarbības gadījumus, veikt gadījumu vadību, monitoringu, kā arī identificēt aktuālās problēmas, vardarbības veidus un lokācijas, tādējādi palīdzot rast efektīvākus risinājumus situācijas uzlabošanai. Šī moduļa izveide ir aktuāla arī kontekstā ar plānotajiem grozījumiem Izglītības likumā, kas paredzēs katrai izglītības iestādei pienākumu izmantot vai izstrādāt vardarbības mazināšanas/novēršanas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Modulis kalpos kā pamata instruments izglītības iestādēm diskriminācijas un vardarbības gadījumu fiksēšanai un datu vākšanai, uzskaitei, analīzei un preventīvu pasākumu plānošanai un īstenošanai, iesaistot skolēnus, vecākus, pedagogus un citus saistītos speciālistus, lai veicinātu drošu vidi skolā, prasmju attīstību un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diskriminācijas un vardarbības incidentu vadības IT risinājuma izstrādes iespējas un pārrunājot tās ar izglītības iestādēm 2024. gada 4. ceturksnī visā Latvijā organizēto domnīcu ietvaros, Bērnu aizsardzības centra (Turpmāk – BAC) speciālisti secināja, ka skolas dod priekšroku IT risinājumam, kas būtu daļa no jau pašlaik pieejamām sistēmām, tādējādi nodrošinot vienotu autorizāciju un mazinātu ikdienas darbā izmantotos neatkarīgos rīkus un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BAC sadarbībā ar pakalpojuma sniedzēju izstrādātu vardarbības incidentu vadības sistēmas metodoloģiju un nodrošinātu moduļa tehniskās specifikācijas izstrādi, kā arī izglītības iestāžu pedagogu un atbalsta personāla apmācības.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vai VIAA, kā Projekta sadarbības partneris, tiktu piesaistīts, lai īstenotu IT risinājuma – vardarbības incidentu vadības moduļa izstrādi, nodrošinot tā integrēšanu un sasaisti ar skolu vidē izmantojamām sistēmām, kā arī tā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Diskriminācijas un vardarbības incidentu vadības sistēmas moduļa izstrādes izmaksas varētu tikt segtas no BAC projekta līdzekļiem, savukārt moduļa lietotāju lomu un tiesību pārvaldība, kā arī auditācija jeb tehniskā kontrole varētu tikt pārizmantota no VIIS.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tādējādi tiktu arī nodrošināta diskriminācijas un vardarbības incidentu vadības IT risinājuma ilgtspēja.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IT risinājuma izstrādes un </w:t>
      </w:r>
      <w:r w:rsidR="00000000" w:rsidRPr="00000000" w:rsidDel="00000000">
        <w:rPr>
          <w:b w:val="1"/>
          <w:rtl w:val="0"/>
        </w:rPr>
        <w:t xml:space="preserve">ieviešanas izmaksas indikatīvi</w:t>
      </w:r>
      <w:r w:rsidR="00000000" w:rsidRPr="00000000" w:rsidDel="00000000">
        <w:rPr>
          <w:rtl w:val="0"/>
        </w:rPr>
        <w:t xml:space="preserve"> 321 264,56 EUR.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līdzekļi projektā tiktu ieplānoti, samazinot projekta darbību izmaksas, ņemot vērā radušos ietaupījumu pēc faktisko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Grozījumi projektu iesniegumos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veiktajiem grozījumiem MK noteikumos Nr. 258, nepieciešams veikt grozījumus projekta iesniegumos Nr. 4.3.6.9/2/24/I/001 un Nr. 4.3.6.9/1/24/I/001, pamatojoties uz Programmas grozījumiem Nr. 2 par rādītāju samazinājumu un 2025. gada 29. maija Ministru kabineta rīkojumu Nr. 314 (prot. Nr. 21 42. §) Grozījumiem Ministru kabineta 2021. gada 16. novembra rīkojumā Nr. 841 "Par Eiropas Savienības kohēzijas politikas programmu 2021.-2027. gadam" par elastības finansējuma samazinājumu, kā arī, projekta iesniegumā Nr. 4.3.6.9/2/24/I/001 nepieciešams precizēt personāla atalgojumu un pievienot attiecināmo darbību. Veiktajiem grozījumiem MK noteikumos Nr. 258 ir finansiāla ietekme uz elastības finansējumu, bet ne uz projekta iesniegumos plānoto finansējumu.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datu apstrāde 4.3.6.9. pasākumā tiks veikta, pamatojoties uz Eiropas Parlamenta un Padomes Regulas 2016/679 par fizisku personu aizsardzību attiecībā uz personas datu apstrādi un šādu datu brīvu apriti un ar ko atceļ Direktīvu 95/46/EK (Vispārīgā datu aizsardzības regula) 6. panta 1. punkta "e" apakšpunktu un Fizisko personu datu apstrādes likumā noteiktajām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digitālā moduļa izmantošanai tiks izstrādāts.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tiešā veidā ir vērsts uz bērna labāko interešu nodrošināšanu. Projekta ietvarā paredzēti uzlaboti un papildināti pakalpojumi, kas sniegs atbalstu gan tiešā veidā bērniem,  pašām ģimenēm, kā arī izglītības jomā strādājošajiem.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25-TA-536</w:t>
    </w:r>
    <w:r>
      <w:br/>
    </w:r>
    <w:r w:rsidR="00000000" w:rsidRPr="00000000" w:rsidDel="00000000">
      <w:rPr>
        <w:rtl w:val="0"/>
      </w:rPr>
      <w:t xml:space="preserve">Izdrukāts 29.07.2026. 22.45 - 3.0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25-TA-536</w:t>
    </w:r>
    <w:r>
      <w:br/>
    </w:r>
    <w:r w:rsidR="00000000" w:rsidRPr="00000000" w:rsidDel="00000000">
      <w:rPr>
        <w:rtl w:val="0"/>
      </w:rPr>
      <w:t xml:space="preserve">Izdrukāts 29.07.2026. 22.45 - 3.0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anotācija_(ex_ante)_25-TA-536.docx</dc:title>
</cp:coreProperties>
</file>

<file path=docProps/custom.xml><?xml version="1.0" encoding="utf-8"?>
<Properties xmlns="http://schemas.openxmlformats.org/officeDocument/2006/custom-properties" xmlns:vt="http://schemas.openxmlformats.org/officeDocument/2006/docPropsVTypes"/>
</file>