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5.1.1.8. pasākuma "Divējāda lietojuma 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5.1.1.8.pasākuma "Divējāda lietojuma infrastruktūras attīstība" īstenošanas noteikumi” (turpmāk – Noteikumu projekts) izstrādāts, pamatojoties uz Eiropas Savienības fondu 2021.–2027. gada plānošanas perioda vadības likuma 19. panta 13. punktu, grozījumu Nr. 3 Eiropas Savienības kohēzijas politikas programmā (turpmāk – Programma) 2021.-2027. gadam projektu (ID 25-TA-321).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sniegts atbalsts valsts sabiedrībai ar ierobežotu atbildību “Latvijas Valsts ceļi” divējāda lietojuma ceļu satiksmei paredzētu valsts autoceļu (turpmāk - ceļi) un to infrastruktūras attīstībai reģionos, kas piemērota civilajām un nepieciešamības gadījumos militārām vai civilās aizsardzības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attīstīt divējāda lietojuma ceļu satiksmei paredzētus ceļus un to infrastruktūru reģionos, kas piemēroti civilajām un, nepieciešamības gadījumos, militārām vai civilās aizsardzības vajadzībām, Latvijas iedzīvotāju un infrastruktūras drošības palielināšanai un militārās mobilitātes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5.1.1. specifiskā atbalsta mērķa "Vietējās teritorijas integrētās sociālās, ekonomiskās un vides attīstības un kultūras mantojuma, tūrisma un drošības veicināšana pilsētu funkcionālajās teritorijās" (turpmāk – 5.1.1.SAM) ietvaros plānots, balstoties uz integrētajām teritoriju attīstības stratēģijām – piecām plānošanas reģionu attīstības programmām. Plānošanas reģionu attīstības programmās tiks apskatīti kopējie teritoriju izaicinājumi, paredzot ieguldījumu no dažādiem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SAM ietvaros ieguldījumi tiek veikti tikai pilsētu funkcionālajās teritorijās (Functional urban area), kas ir nacionālas un reģionālas nozīmes attīstības centri (pilsēta) atbilstoši stratēģijā "Latvija 2030" noteiktajam un to apkārtējās teritorijas, starp kurām ir ikdienas darbaspēka migrācija un kopīgs pakalpojumu tīkls. Lai nodrošinātu teritoriālo pieeju plānošanā, konkrētas pilsētu funkcionālās teritorijas, balstoties uz vienotu definīciju, tiek noteiktas plānošanas reģionu attīstības programmās, ko izstrādājuši plānošanas reģioni kopā ar pašvaldībām un apstiprinājusi attiecīgā plānošanas reģiona attīstības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29.panta 3.punktā noteikto, lai tiktu nodrošināta integrēto teritoriju attīstības stratēģiju (reģionu attīstības programmu) izstrādātāju iesaiste projektu atlasē, noteikumu projekts nosaka, ka 5.1.1.8.pasākuma "Divējāda lietojuma infrastruktūras attīstība"(turpmāk – Pasākums) ietvaros tiek atbalstīts plānošanas reģiona attīstības programmā paredzētais divējāda lietojuma infrastruktūras attīstības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"Par atbalstu Eiropas Savienības Austrumu pierobežas konkurētspējas stiprināšanai" (izskatīts MK 2023. gada 28. novembrī, protokols Nr.59 56.§), šobrīd pieejamo investīciju pasākumu atbalstāmās darbības neparedz specifisku atbalstu divējāda lietojuma infrastruktūras attīstīšanai, lai gan ģeopolitiskā situācija visā pasaulē, īpaši notikumi Ukrainā, aktualizē šādas infrastruktūras izveides nozīmīgumu iedzīvotāju drošības nodrošināšanai. Pašvaldībām pieejamie atbalsta instrumenti ir ierobežotā apjomā. Papildu līdzekļu paredzēšana pašvaldībām nozīmīgo infrastruktūras attīstības projektu īstenošanai veicinātu investīciju saņemšanu un izmantošanu teritoriju drošības nodrošināšanai. Drošība vienlaikus ir viens no nozīmīgiem faktoriem, kas nosaka ārvalstu tiešo investīciju piesaisti Latvijā un ietekmē ekonomisko aktivitāti reģionos.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Austrumu pierobežas ekonomiskajai izaugsmei un drošības stiprināšanai 2025.–2027. gadam (apstiprināts MK 2025. gada 20. janvārī, protokols Nr. 2 35. §) kā vienu no virzāmajiem jautājumiem paredz divējādas lietojamības infrastruktūras attīstību, jo tas objektu padara vienlīdz piemērotu civilajām, kā arī nepieciešamības gadījumos militārām vai civilās aizsardzības vajadzībām, turklāt paredzot iespējami ātru objekta transformāciju no civilā pielietojuma uz militāru vai ar civilās aizsardzības pasākumu nodrošināšanu saistītu pielietojumu. Plāna pielikumā ietverti kritēriji un kārtība, kādā cita starpā tiks izvērtēti pašvaldību sākotnēji iesniegtie priekšlikumi mobilitātes infrastruktūras jomās divējādas lietojamības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17. un 18. oktobra Baltijas Asamblejas 43. sesijā tika pieņemta rezolūcija, par Baltijas valstu sadarbību aizsardzības jomā, kurā tika aicināts sekmēt ES finansējuma palielināšanu militārās mobilitātes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politikas pamatnostādņu 2021.-2027.gadam (apstiprinātas ar MK 2019. gada 26. novembra rīkojumu Nr. 587 "Par Reģionālās politikas pamatnostādnēm 2021.-2027. gadam", pieejamas: https://likumi.lv/ta/id/310954-par-regionalas-politikas-pamatnostadnem-2021-2027-gadam) mērķis ir radīt priekšnosacījumus visu reģionu ekonomiskā potenciāla attīstībai un sociālekonomisko atšķirību mazināšanai, paaugstinot iekšējo un ārējo konkurētspēju. Mobilitāte reģionos un ceļu atjaunošana un pārbūve ir daļa no pasākumu kopuma reģionu konkurētspējas celšanai un reģionālās attīstības atšķirību mazināšanai. Tāpat ceļu tīkla izmantošanas kvalitāte ir svarīga, lai uzlabotu iedzīvotāju ikdienu, nodrošinot novadu labāku sasniedzamību, sekmējot piekļuvi valsts un pašvaldību sniegtajiem pakalpojumiem un darbavietām.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"Militārā poligona "Sēlija" piekļuves ceļa uzlabošana" MK tika atbalstīta kā viena no Aizsardzības ministrijas pieteiktajām prioritātēm (Ministru kabineta 2024.gada 19.septembra ārkārtas sēdes protokola Nr. 38 2. § Informatīvais ziņojums "Par valsts budžeta likumprojektā iekļaujamiem prioritārajiem pasākumiem 2025., 2026., 2027. un 2028. gadam" 5.punkts), savukārt Satiksmes ministrija ir vadošā valsts pārvaldes iestāde transporta politikas un sakaru politikas jomā, un Pasākuma ietvaros tiek novirzīts ERAF finansējums divējāda lietojuma ceļu satiksmei paredzētai infrastruktūrai, kas reizē var nodrošināt gan civilo, gan, nepieciešamības gadījumā, militāro pielietojumu, Aizsardzības ministrijas un Satiksmes ministrijas pārstāvji tiks aicināti piedalīties projektu iesniegumu vērtēšanas komisijā (ar balsstiesībām).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Noteikumu projekta 5. punkta izpratnē no Aizsardzības ministrijas puses tiek sniegts iesniegumu vērtēšanas komisijas darba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uzsākto karadarbību Ukrainā, ir svarīgi palielināt spēju aizsargāt Latvijas iedzīvotājus un infrastruktūru, tādēļ būtiski novirzīt finansējumu divējāda lietojuma paredzētiem ceļiem un to infrastruktūrai, kas reizē var nodrošināt gan civilo, gan, nepieciešamības gadījumā, militāro pielietojumu, un attīstīt mobilitātes infrastruktūru. Atbilstoši MK noteiktajām drošības stiprināšanas prioritātēm (MK 2024. gada 19. septembra ārkārtas sēdes prot. Nr.38), nepieciešams attīstīt militārā poligona "Sēlija" piekļuves ceļa infrastruktūru, lai nodrošinātu tā izmantošanu ne tikai civilajiem mērķiem, bet arī Nacionālo bruņoto spēku un sabiedroto spēku vienību pastāvīgu un netraucētu piekļuvi poligonam "Sēlija", paredzot divvirzienu plūsmu un ceļa noslodzes izturību ne mazāku kā 120 t., kā arī paredzot citus būtiskus uzlabojumus autoceļam, lai nepārtraukti nodrošinātu militāro vajadzību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Ģeopolitiskās situācijas līdz ar Krievijas iebrukumu Ukrainā dēļ jāpalielina spēja aizsargāt Latvijas iedzīvotājus un infrastruktūru. Lai secīgi un efektīvi risinātu iepriekšminētās problēmas, ir paredzēts atbalsts divējāda lietojuma risinājumiem, kas piemēroti civilajām un, nepieciešamības gadījumos, militārām vai civilās aizsardzības vajadzībām, kas vienlaikus veicinās arī Latvijas iedzīvotāju un infrastruktūras drošības palielināšanos, sniegs ieguldījumus ekonomiskās attīstības un mobilitātes veicināšanā reģionos. Galvenokārt plānota divējāda lietojuma ceļu satiksmei paredzētu ceļu un to infrastruktūras attīstīšana, kas ir kritiski svarīgi valsts drošībai un Nacionālo bruņoto spēku spējai efektīvi pārvietoties reģionos, atbalstot militārās mobilitātes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mobilitātes attīstības ietvarā radītie risinājumi kalpo ne tikai nacionālo un sabiedroto bruņoto spēku interesēm to pārvietošanās laikā – ikdienā, tie kalpo katram Latvijas iedzīvotājam. Pirmkārt, militārās mobilitātes infrastruktūras risinājumi savos pamatos ir divējādas lietojamības, kas nozīmē, ka tie primāri attiecas uz civilās sabiedrības un komerciālo interešu veicināšanu. Nodrošinot kvalitatīvu un drošu transporta infrastruktūru Latvijā, esam spējīgi ērti savienoties ar citām ES valstīm, tādējādi veicinot arī tautsaimniecību. Otrkārt, divējādas lietojamības infrastruktūra ir paredzēta arī lielizmēra militāro vienību kustībai, kas nozīmē, ka krīzes apstākļos tiks nodrošināta efektīva mūsu un sabiedroto bruņoto spēku pārvietošanās spēja. Latvijas transporta infrastruktūras uzlabošana un pielāgošana militārām vajadzībām ir viens no būtiskākajiem mērķiem militārās mobilitātes veicināšanai valstī, lai uzlabotu Nacionālo bruņoto spēku spēju pildīt uzdevumus, kas ir noteikti Latvijas normatīvajos aktos un kas izriet no starptautiskajam saistībām. Šādu darbību mērķis ir novērst arī ar transporta infrastruktūru saistītos drošības riskus. Valsts nozīmes un pašvaldību ceļi ir kritiski svarīgi ne tikai mūsu vajadzībām, bet arī mūsu sabiedroto vajadzībām – Latvijas ceļu tīkls nodrošina Latvijā izvietoto sabiedroto spēku pārapgādi un tādējādi spēlē būtisku lomu ES austrumu reģiona kolektīvās drošības stiprināšanā. Šajā kontekstā sevišķi būtiska loma ir gan TEN-T tīkla, gan ārpus tā esošo ceļu un pārvadu kvalitātei – tiem ir jābūt piemērotiem divējādas lietojamības vajadzībām, lai nodrošinātu nepieciešamo militāro mobilitāti gan mūsu, gan mūsu sabiedroto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militāro poligonu piekļuves ceļu uzlabošana un sakārtošana uzlabos transporta kustību arī pašā Aizkraukles novadā, tas uzlabos reģionālo mobilitāti, kā arī pilnvērtīga divvirzienu plūsmas iespējamība mazinās ceļā pavadīto laiku un uzlabos satiksmes drošību. Kā arī investīcijas ceļu un ar to saistītās infrastruktūras attīstībā ir būtiskas Administratīvi teritoriālās reformas īstenošanas kontekstā, lai savienotu novadu centrus, kuros tiek sniegti iedzīvotājiem būtiski valsts un pašvaldību pakalpojumi un atrodas darbavietas.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pieejamais kopējais finansējums ir ne mazāks kā 16 250 000 </w:t>
      </w:r>
      <w:r w:rsidR="00000000" w:rsidRPr="00000000" w:rsidDel="00000000">
        <w:rPr>
          <w:i w:val="1"/>
          <w:rtl w:val="0"/>
        </w:rPr>
        <w:t xml:space="preserve">euro</w:t>
      </w:r>
      <w:r w:rsidR="00000000" w:rsidRPr="00000000" w:rsidDel="00000000">
        <w:rPr>
          <w:rtl w:val="0"/>
        </w:rPr>
        <w:t xml:space="preserve">, tai skaitā ERAF finansējums – 13 812 500 </w:t>
      </w:r>
      <w:r w:rsidR="00000000" w:rsidRPr="00000000" w:rsidDel="00000000">
        <w:rPr>
          <w:i w:val="1"/>
          <w:rtl w:val="0"/>
        </w:rPr>
        <w:t xml:space="preserve">euro</w:t>
      </w:r>
      <w:r w:rsidR="00000000" w:rsidRPr="00000000" w:rsidDel="00000000">
        <w:rPr>
          <w:rtl w:val="0"/>
        </w:rPr>
        <w:t xml:space="preserve"> un valsts budžeta finansējums – ne mazāk kā 2 437 500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projektam pieejamo finansējumu un plānoto izbūvējamo infrastruktūru, kā arī iespējamo preču vai pakalpojumu sadārdzinājumu būvniecības nozarē, tai skaitā, lai samazinātu cenu izmaiņu (inflācijas vai deflācijas) riskus, Noteikumu projekts paredz, ka projekta iesniedzējs projekta īstenošanai nepieciešamības gadījumā var piesaistīt papildu publiskos līdzekļus, tas ir, piesaistīt finanšu līdzekļus valsts budžeta programmas 23.00.00. "Valsts autoceļu fonds" finansējuma ietvaros, nepieprasot papildu finansējumu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24.punktā minētās izmaksas, kas finansējamas ārpus projekta, netiek norādītās projekta iesniegumā, izpildot Ministru kabineta 2022.gada 25.janvāra sēdes protokola Nr.4 24.§ 4.punktā noteikto: “Noteikt, ka nozares ministrijas specifiskā atbalsta mērķa, Eiropas Savienības fonda projekta plānošanas un īstenošanas posmā, tai skaitā veicot grozījumus specifiskā atbalsta mērķa īstenošanas kārtībā vai Eiropas Savienības fonda projektā, neplāno neattiecināmās izmaksas, tas ir, izmaksas, kas nav saskaņā ar specifiskā atbalsta mērķa īstenošanas nosacījumiem vai pārsniedz pieejamo attiecināmo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Pasākumā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 gada beigām ir plānots sasniegt šādu programmas specifisko iznākuma rādītāju: izbūvēto divējāda lietojuma ceļu garums – vismaz 16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politikas programmā 2021.–2027.gadam 5.1.1. SAM ietvaros ir noteikts kopējs iznākuma rādītājs "atbalstītas vismaz piecas integrētas teritoriālās attīstības stratēģijas". Informāciju par to, ka iznākuma rādītājs ir sasniegts, sniegs VARAM kā ES fondu atbildīgā iestāde, kad attiecīgajā reģionā tiks pabeigta vismaz viena 5.1.1. SAM projekta īstenošana, līdz ar to Pasākuma īstenošanai nav tiešas ietekmes uz attiecīgā iznākuma rādītāja sasniegšanu, bet tā ietvaros paredzēto aktivitāšu īstenošana veicinās 5.1.1. SAM noteikto iznākuma rādītāja sasniegšanu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projekta iesniedzējs ir Satiksmes ministrija, kuras vārdā atbilstoši likuma "Par autoceļiem" 7. panta trešajai daļai un Satiksmes ministrijas deleģēšanas līgumam darbojas valsts sabiedrība ar ierobežotu atbildību "Latvijas Valsts ceļi", kas veiks Satiksmes ministrijas kā Eiropas Savienības fondu projekta iesniedzēja funkcijas, kas pēc projekta apstiprināšanas ir arī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Pasākuma ietvaros attiecināmās izmaksas ir pakārtotas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ietvaros plānotās atbalstāmās darbības atbilst Intervences laukuma kodam: 93 “Citi rekonstruēti vai modernizēti ceļi (automaģistrāles, valsts reģionālie vai vietējie)” – finansējums 13 812 500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plānots no jauna izbūvēt vai pārbūvēt ceļu satiksmei paredzētos ceļus un ar tiem saistīto infrastruktūru, pastāv situācijas, kad jauno vai pārbūvējamo būvju konstrukcijas nav iespējams ietilpināt valsts autoceļu ceļu zemes nodalījuma joslā jeb jau valsts īpašumā esošajā nekustamajā īpašumā, tamdēļ var rasties situācijas, kad var būt nepieciešams veikt papildus zemes iegādi. Ņemot vērā iepriekš minēto, Noteikumu projekts paredz, ka ir attiecināmas zemes iegādes izmaksas, ja zemes iegāde ir tieši nepieciešama projektā paredzētās būvniecības īstenošanai (ne vairāk kā 10 procenti no projekta attiecināmo izmaksu kopsummas).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Pasākuma mērķa un plānotā iznākuma rādītāja sasniegšanu, Noteikumu projektā vairākām izmaksu pozīcijām tiek noteikti procentuālie ierobežojumi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plānotas tiešās attiecināmās izmaksas. Ņemot vērā Pasākuma ietvaros plānotās izbūvējamās infrastruktūras specifiku, piemēram, tanku pārejas, tostarp arī pieejamo finansējumu, kas paredzēts Pasākuma mērķa un rādītāja sasniegšanai, Noteikumu projekts neparedz Pasākuma īstenošanā piemērot vienkāršotas izmaksas (personāla izmaksas). Vienlaikus jāņem vērā, ka arī atbilstoši izvērtējumam "Vienkāršoto izmaksu piemērošanas iespējas 2021.-2027. gada ES fondu plānošanas periodā" ziņojumā un tā pielikumā "B1 Pielikums - SAMP Izvērtēšanas Matrica" ir secināts, ka specifisku vienkāršoto izmaksu piemērošanas lietderība Pasākumā ir salīdzinoši neliela.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lai Pasākuma ietvaros attiecināmās izmaksas nepārklātos ar citiem valsts un ārvalstu finanšu atbalsta instrumentiem un novērš dubultā finansējuma risku. Kā vienu no demarkācijas un dubultfinansējuma riska novēršanas uzraudzības instrumentiem finansējuma saņēmējs var izmantot FM izstrādāto dubultfinansējuma riska kontroles matricu (pieejama šeit: https://matrica.fm.gov.lv/).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iesniegumā neiekļauj un finansējumu nepiešķir pabeigtām darbībām. Būvniecības gadījumā ar darbību (tai skaitā "pabeigtu darbību") būtu saprotams projekts kopumā, t.i., pieņemot, ka pabeigta darbība ir pilnībā pabeigti darbi/projekts, piemēram, konkrētais objekts (pārbūvētais divējāda lietojuma ceļa posms) ir nodots ekspluatācijā. Līdz ar to, nosacījums par pabeigtām darbībām nav attiecināms uz atsevišķiem projekta posmiem, piemēram, iepirkumu veikšanu, projektēšanu, vides piekļūstamības ekspertu konsultācijām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komunikācijas un vizuālās identitātes prasību nodrošināšanas nosacījumi, Pasākuma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projektos, veicot iepirkuma procedūru, ir atbalstāma vides prasību integrācija preču un pakalpojumu iepirkumos – zaļais publiskais iepirkums –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vienlaikus jāievēro obligātie kritēriji saskaņā ar Ministru kabineta 2017. gada 20. jūnija noteikumu Nr.353 "Prasības zaļajam publiskajam iepirkumam un to piemērošanas kārtība" (turpmāk – MK noteikumi Nr. 353) 1. pielikumu "Preču un pakalpojumu grupas, kurām obligāti piemērojams zaļais publiskais iepirkums", kur noteiktas zaļā iepirkuma prasības un kritēriji, kurus izmanto to preču un pakalpojumu publiskajā iepirkumā, kam zaļais iepirkums piemērojams obligāti.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prasību pasākumus saskaņā ar Regulas 2021/1060 47. un 50.pantu,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īstenojot projektu, finansējuma saņēmējs izpilda attiecināmās prasības un nodrošina, ka projekts atbilst principa "Klimatdrošināšana" ievērošanai. Projektā ietvertie pasākumi paredz horizontālā principa "Klimatdrošināšana" nepieciešamo prasību ievērošanu attiecībā uz klimata pārmaiņu mazināšanu un pielāgošanos klimata pārmaiņām, attiecīgo informāciju iekļaujot projekta iesniegumā, ja attiecināms,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paredzēts īstenot darbības, kas nodrošina klimata pārmaiņu mazināšanu, t.i., siltumnīcefekta gāzu (turpmāk – SEG) emisiju samazināšanu (projekta iesniegumā vai tā pielikumā sniedzot informāciju par SEG emisiju apjoma samazinājumu projekta īstenošanas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atbilstību pielāgošanās klimata pārmaiņu aspektiem, kopsakarībā ar klimata pārmaiņu radītajiem potenciālajiem riskiem un to ietekmes novēršanu projektā tiks izvērtēta iespēja veikt attiecīgas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izbūvēt lietusūdens caurplūdes grāvjus u.tml. ceļa elementus atbilstoši klimata pārmaiņu radītajam nokrišņu intensitātes palielinājumam, kur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autoceļu infrastruktūras drošības uzlabošanā būvniecības procesā ceļa segai paredzēt materiālus, kas samazina seguma (segas) paliekošo deformāciju (temperatūras un slodzes ietekmē) un citu bojājumu veidošanos, vienlaicīgi nodrošinot ceļa nestspēju atbilstoši paredzētai slodzei un satiksmes intensitātei;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veicot ieguldījumus autoceļu infrastruktūras drošības uzlabošanā, pamatotos gadījumos paredzēt lietus ūdeņu savākšanas un novadīšanas sistēmu izbūve, lai mazinātu applūšanas riskus spēcīgu lietusgāžu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projektā tiek ievēroti horizontālā principa "Nenodarīt būtisku kaitējumu" (turpmāk – NBK) noteiktie klimata pārmaiņu mazināšanas, pielāgošanos klimata pārmaiņām un vides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horizontālais princips NBK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NBK principa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Kritērijs "klimata pārmaiņu mazināšana, lai neradītu ievērojamas SEG emisijas": veicot Pasākumā plānotās darbības – divējāda lietojuma ceļu satiksmei paredzētās infrastruktūras attīstīšana, tiks novērots SEG emisiju samazinājums. Vienmērīgs braukšanas režīms samazina degvielas patēriņu, kam savukārt ir tieša sasaiste ar SEG emisijām. Emisiju samazinājums veidojas no mazāka degvielas patēriņa, kas rodas no vienmērīgas pārvietošanās pa kvalitatīvu ceļu, jo tiks nodrošināta labāka seguma kvalitāte, drošāka satiksme un labāka satiksmes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Kritērijs "pielāgošanās klimata pārmaiņām": Pasākumā plānotie ieguldījumi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pasākumu īstenošanā ir paredzēts ņemt vērā klimata pārmaiņu radītos potenciālos riskus, kā arī novērst to ietekmi. Pamatotos gadījumos plānotās darbības ietver lietusūdens caurplūdes grāvju u.tml. ceļa elementu izbūvi atbilstoši klimata pārmaiņu radītajam nokrišņu intensitātes palielinājumam, kur nepieciešams. Projektā būvniecības procesā transporta infrastruktūras izbūvei paredzēti materiāli, kas nodrošina asfalta maisījumu izturību pret augstām temperatūrām un palīdz novērst ceļa seguma deformācijas (temperatūras un slodzes ietekmē). Transporta infrastruktūras izbūvē, pamatotos gadījumos tiks paredzēta lietus ūdeņu savākšanas un novadīšanas sistēmu izbūve, lai mazinātu applūšanas riskus spēcīgu lietusgāžu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Kritērijs "ūdens un jūras resursu ilgtspējīga izmantošana un aizsardzība": Pasākumam nav būtiskas ietekmes, jo veicot ieguldījumus divējāda lietojuma ceļu satiksmei paredzētās infrastruktūras attīstībā tiks uzlabotas lietus ūdens novadīšanas sistēmas, nepieciešamības gadījumā novēršot piesārņojuma nokļūšanu virszemes ūdeņos. Tāpat tiks īstenoti vides aizsardzībai vajadzīgie ietekmes mazināšanas pasākumi. Pārbūvējot autoceļu infrastruktūru, pamatotos gadījumos tiks paredzēta lietus ūdeņu savākšanas un novadīšanas sistēmu izbūve, lai mazinātu applūšanas riskus spēcīgu lietusgāžu gadījumā. Tiks ievēroti likuma “Par ietekmes uz vidi novērtējumu” nosacījumi un tiks veikts ietekmes uz vidi novērtējums atbilstoši normatīvajos aktos noteiktajam, un negatīvā ietekme tiks novērsta saskaņā ar Eiropas Parlamenta un Padomes Direktīvu 2011/92/ES par dažu sabiedrisku un privātu projektu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Kritērijs "pāreja uz aprites ekonomiku, ieskaitot atkritumu rašanās novēršanu un pārstrādi": Projekta īstenošanā, kur attiecināms, atbilstoši plānotajam pārbūves veidam un tā ietvaros sasniedzamajam rezultātam, tiks piemēroti zaļā publiskā iepirkuma principi, t.sk., ja attiecināms, tiks nodrošināta MK noteikumos Nr. 353 noteikto obligāto prasību izpilde attiecībā uz apgaismojumu un satiksmes signāliem, piemērojot ciktāl tas ir racionāli un iespējami autoceļu būvdarbos atkārtoti pārstrādātu vai otrreizējo izejvielu izmantošanu jaunu resursu vietā. Plānots, ka būvniecības laikā būvdarbu veicēji tiks aicināti ierobežot atkritumu rašanos saskaņā ar Eiropas Savienības būvgružu un ēku nojaukšanas atkritumu apsaimniekošanas protokolu un ņemot vērā pieejamos tehniskos paņēmienus, kā arī atvieglot atkārtotu izmantošanu un reciklēšanu, kas panākams ar būvgružu šķirošanai paredzēto, pieejamo sistēmu palīdzību selektīvi izņemot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Kritērijs "piesārņojuma novēršana un kontrole": Pasākumā īstenotajām darbībām nav paredzama būtiska ietekme uz vides piesārņojumu. Īstermiņā projekta īstenošanas – būvniecības procesā ietekme tiks mazināta, kur attiecināms, paredzot/piemērojot zaļo publisko iepirkumu un ievērojot visus atbilstošos vides aizsardzības normatīvus. Nav paredzams, ka Pasākums būtiski palielinās piesārņotāju emisijas gaisā, jo autoceļu pārbūve ir daļa no visaptverošā plāna transporta jomā un atbilst Gaisa piesārņojuma samazināšanas rīcības plānam 2020.-2030. gadam, kur sasaistē ar politiku transporta sektorā valsts autoceļu kvalitātes uzlabošanas pasākumam ir norādīta pozitīva ietekme uz gaisa kvalitāti. Īstenojot Pasākumu, atsevišķās vietās tiek plānots atbalstīt teritorijas labiekārtošanas darbus, tostarp apzaļumošanu, tādējādi samazinot CO2 emisijas un uzlabojot gaisa kvalitāti, nodrošinot zaļu un ilgtspējīgas vides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Kritērijs "bioloģiskās daudzveidības un ekosistēmu aizsardzība un atjaunošana": Pasākumā īstenotajām darbībām nav paredzama būtiska ietekme. Bioloģiskās daudzveidības un ekosistēmas aizsardzībai un atjaunošanai tiks ņemtas vērā būvprojektā iestrādātās Dabas aizsardzības pārvaldes iekļautās prasības un citi normatīvie akti. Būvprojekta izstrādes laikā tiek pieprasīti Valsts vides dienesta tehniskie noteikumi, ja to nosaka normatīvie akti, nodrošinot maksimālu dabas vērtību aizsardzību un visu nepieciešamo aizsardzības pasākumu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 Noteikumu projekts paredz, ka finansējuma saņēmējs nodrošina datu uzkrāšanu par horizontālā principa "Vienlīdzība, iekļaušana, nediskriminācija un pamattiesību ievērošana" rādītāju "Objektu skaits, kuros ir nodrošināta vides un informācijas piekļūstamība" (VINPI_12).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saņēmēja iekšējās kontroles sistēma ietver informāciju par interešu konflikta, krāpšanas, korupcijas risku un dubultā finansējuma novēršanas mehānismu. Finansējuma saņēmējs nepieciešamības gadījumā aktualizē esošo iekšējās kontroles sistēmu, nodrošinot atbilstību Noteikumu projektā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īstenojot projektus, nodrošinās Pasākumā atbalstāmo darbību sinerģiju, papildinātību ar Eiropas Savienības un citiem atbalsta instrumentiem, vienlaikus nodrošinot demarkācijas un dubultfinansējuma riska novēršanu gadījumus, kad no dažādiem finanšu avotiem tiks atbalstītas vienas un tās pašas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Pasākuma rezultātu un rādītāju ilgtspējas un infrastruktūras uzturēšanas nodrošināšanu atzīmējams, ka valsts autoceļu pārvaldīšanu, uzturēšanu, projektēšanu un renovāciju finansē no valsts pamatbudžetā valsts autoceļu fonda programmai piešķirtajiem līdzekļiem saskaņā ar likuma “Par autoceļiem” 12.panta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Pasākuma ietvaros rīkosies tās valsts deleģēto funkciju ietvaros, tai skaitā atbilstoši likuma "Par autoceļiem" 7. panta trešajai daļai un Satiksmes ministrijas 2022. gada 29. decembra deleģēšanas līgumam SM2022/-58. Ņemot vērā, ka finansējuma saņēmējs īstenos projektu valsts pārvaldes funkciju ietvaros, Pasākuma ietvaros plānotais atbalsts finansējuma saņēmējam nav saistīts ar saimnieciskās darbības veikšanu atbilstoši Komercdarbības atbalsta kontroles likuma 5.pantā noteiktajām četrām kumulatīvajām pazīmēm. Vienlaikus jāņem vērā, ka Pasākuma ietvaros izveidotā transporta infrastruktūra pēc pieņemšanas ekspluatācijā būs pieejama ikvienam bez diskriminācijas un ierobežojumiem, saglabājot vispārējās publiskās infrastruktūras statusu atbilstoši tam, kā tas izriet no Eiropas Komisijas paziņojuma par Līguma par Eiropas Savienības darbību 107. panta 1. punktā minēto valsts atbalsta jēdzienu (2016/C 262/01) 203.punktu, proti, Pasākuma ietvaros izveidotā infrastruktūra netiks izmantota komerciāli un to bez maksas varēs izmantot ikviens, tai skaitā satiksmes dalībnieki, tostarp mazaizsargātie satiksmes dalībnieki (gājēji, velosipēdisti, elektroskrejriteņu vadītāji). Līdz ar to Pasākumā netiek piemērots komercdarbības atbalsta kontroles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izmaksu un ieguvumu analīze netiek veikta, ievērojot, ka "Militārā poligona "Sēlija" piekļuves ceļa uzlabošana" (divējāda lietojuma ceļu satiksmei paredzēta infrastruktūra) MK tika atbalstīta kā viena no Aizsardzības ministrijas pieteiktajām prioritātēm (Ministru kabineta 2024.gada 19.septembra ārkārtas sēdes protokola Nr. 38 2. § Informatīvais ziņojums "Par valsts budžeta likumprojektā iekļaujamiem prioritārajiem pasākumiem 2025., 2026., 2027. un 2028. gadam" 5.punkts). Saskaņā ar Aizsardzības ministrijas plāniem, viena no valsts aizsardzības prioritātēm ir stiprināt Ziemeļatlantijas līguma organizācijas (NATO) sabiedroto spēku pastāvīgu klātbūtni Latvijā, nodrošinot labvēlīgus uzņemošās valsts atbalsta noteikumus un Latvijas uzņemto saistību izpildi attiecībā uz sabiedrotajiem. Ņemot vērā Ziemeļatlantijas līguma organizācijas (NATO) Madrides samitā pieņemtos lēmumus par lielāku sabiedroto spēku klātbūtni Baltijas valstīs, kā arī aizsardzības nozares ambīcijas attiecībā uz Nacionālo bruņoto spēku personāla skaita palielināšanu, nepieciešams izveidot jaunu poligonu, lai nodrošinātu karavīriem apmācību vietu. Aizsardzības ministrija un Nacionālie bruņotie spēki ir izvērtējuši vairākas iespējamās vietas jauna poligona izveidei un par piemērotāko vietu atzinuši poligona izveidi teritorijā, kas iekļauj Aizkraukles un Jēkabpils novadus. Saskaņā ar Militārā poligona "Sēlija" izveides likumu, kas stājies spēkā 2023.gada 29.jūnijā, tiek noteikti priekšnoteikumi jauna militārā poligona "Sēlija" izveidei Jēkabpils un Aizkraukles novadu teritorijās. Infrastruktūras izveides un atsavināšanas process tiek organizēts kārtās. Šobrīd norit pirmās kārtas īstenošana, kas aptver aptuveni 61 % no poligona kopējās platības. Pirmās kārtas realizācija sākta 2023. gadā, to paredzēts īstenot līdz 2025. gada beigām. Poligona attīstības otro kārtu paredzēts īstenot laika posmā no 2026.gada līdz 2034.gadam. Pabeidzot Sēlijas poligona izveides otro kārtu, tajā varēs uzturēties un tikt apmācīta brigādes līmeņa Ziemeļatlantijas līguma organizācijas (NATO) sabiedroto spēku militārā vienība, kā arī valsts aizsardzības dienesta vienības, tāpat arī citas Nacionālo bruņoto spēku vienības.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tikai tādas darbības un sagatavot tādus iesniedzamos dokumentus, ko jau nosaka spēkā esošie normatīvie akti. Pasākumā plānoto darbību izmaksu samērīgums pret ieguvumiem tiks izvērtēts, veicot būvobjektu projektēšanu.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satiksmes dalībniekiem, t.sk., Nacionālo bruņoto spēku personālsastāvu, kā arī uz iedzīvotājiem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īstenoto darbību rezultātā tiks veikts atbalsts divējāda lietojuma risinājumiem, kas piemēroti civilajām un nepieciešamības gadījumos militārām vai civilās aizsardzības vajadzībām, kas ir kritiski svarīgi valsts drošībai un Nacionālo bruņoto spēku spējai efektīvi pārvietoties reģionos.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Valsts ceļi"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Valsts ceļi" pildīs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pilda atbildīgā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plānotas investīcijas divējāda lietojuma ceļu satiksmei paredzētas infrastruktūras attīstībā, kas piemērota civilajām un, nepieciešamības gadījumos, militārām vai civilās aizsardzības vajadzībām, atbalstot militārās mobilitātes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veicinās satiksmes drošības un vides piekļūstamības uzlabošanu, tai skaitā uzlabos transporta infrastruktūras tehniskos parametrus, satiksmes drošību un tuvumā dzīvojošo sabiedrības locekļu dzīves kvalitāti, rodot iespēju droši šķērsot ceļu, veicinot mazāk aizsargāto satiksmes dalībnieku mobilitāti, vides piekļūstamību, tostarp nodrošinot mazāk aizsargāto satiksmes dalībnieku – gājēju un velosipēdistu drošību. Investīcijas īstenošanas rezultātā tiks uzlaboti arī transporta infrastruktūras tehniskie parametri.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tiks veicināta dzīves vides (iedzīvotāju dzīves apstākļi, reģiona attīstība kopumā, sasniedzamības nodrošinājums un drošas mikromobilitātes iespējas) kvalitātes uzlabošanās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izbūvētā transporta infrastruktūra radīs pienesumu arī tautsaimniecībai kopumā, jo veicinās raitāku transporta plūsmu, vienmērīgu braukšanu (veicinot arī SEG emisiju/degvielas patēriņa samazinājuma), kā rezultātā uzlabosies mobilitāte un samazināsies satiksmes dalībnieku ceļā patērētais laiks. Tāpat Pasākums radīs pozitīvu ietekmi uz nodarbinātību, galvenokārt transporta infrastruktūras būvniecības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arī Latvijas Nacionālā attīstības plāna 2021.–2027. gadam rīcības virziena "Tehnoloģiskā vide un pakalpojumi" 312.uzdevuma/mērķa sasniegšana, proti, veicinot iedzīvotāju mobilitāti un vides piekļūstamību, vienlaikus attīstot drošu autoceļu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ceļa infrastruktūrā ir būtiskas Administratīvi teritoriālās reformas īstenošanas kontekstā, lai savienotu novadu centrus, kuros tiek sniegti iedzīvotājiem būtiski valsts un pašvaldību pakalpojumi un atrodas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radīs pozitīvu ietekmi uz nodarbinātību, galvenokārt transporta infrastruktūras būvniecības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pieejamais kopējais finansējums ir ne mazāks kā 16 250 000 </w:t>
            </w:r>
            <w:r w:rsidR="00000000" w:rsidRPr="00000000" w:rsidDel="00000000">
              <w:rPr>
                <w:sz w:val="24"/>
                <w:i w:val="1"/>
                <w:rtl w:val="0"/>
              </w:rPr>
              <w:t xml:space="preserve">euro</w:t>
            </w:r>
            <w:r w:rsidR="00000000" w:rsidRPr="00000000" w:rsidDel="00000000">
              <w:rPr>
                <w:sz w:val="24"/>
                <w:rtl w:val="0"/>
              </w:rPr>
              <w:t xml:space="preserve">, tai skaitā ERAF finansējums – 13 812 500 </w:t>
            </w:r>
            <w:r w:rsidR="00000000" w:rsidRPr="00000000" w:rsidDel="00000000">
              <w:rPr>
                <w:sz w:val="24"/>
                <w:i w:val="1"/>
                <w:rtl w:val="0"/>
              </w:rPr>
              <w:t xml:space="preserve">euro</w:t>
            </w:r>
            <w:r w:rsidR="00000000" w:rsidRPr="00000000" w:rsidDel="00000000">
              <w:rPr>
                <w:sz w:val="24"/>
                <w:rtl w:val="0"/>
              </w:rPr>
              <w:t xml:space="preserve"> un valsts budžeta finansējums –  ne mazāk kā 2 437 500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ir Eiropas Savienības fondu finansējuma daļa un izdevumi ir kopīgie nepieciešamie līdzekļi t.sk. Eiropas Savienības fondu finansējuma daļa ir 85%, valsts budžeta finansējuma daļa ir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kopējais finansējums ir 9 000 000 </w:t>
            </w:r>
            <w:r w:rsidR="00000000" w:rsidRPr="00000000" w:rsidDel="00000000">
              <w:rPr>
                <w:sz w:val="24"/>
                <w:i w:val="1"/>
                <w:rtl w:val="0"/>
              </w:rPr>
              <w:t xml:space="preserve">euro</w:t>
            </w:r>
            <w:r w:rsidR="00000000" w:rsidRPr="00000000" w:rsidDel="00000000">
              <w:rPr>
                <w:sz w:val="24"/>
                <w:rtl w:val="0"/>
              </w:rPr>
              <w:t xml:space="preserve">, no tā ERAF finansējums – 7 650 000 </w:t>
            </w:r>
            <w:r w:rsidR="00000000" w:rsidRPr="00000000" w:rsidDel="00000000">
              <w:rPr>
                <w:sz w:val="24"/>
                <w:i w:val="1"/>
                <w:rtl w:val="0"/>
              </w:rPr>
              <w:t xml:space="preserve">euro</w:t>
            </w:r>
            <w:r w:rsidR="00000000" w:rsidRPr="00000000" w:rsidDel="00000000">
              <w:rPr>
                <w:sz w:val="24"/>
                <w:rtl w:val="0"/>
              </w:rPr>
              <w:t xml:space="preserve"> un valsts budžeta finansējums – 1 350 000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kopējais finansējums ir 6 250 000 </w:t>
            </w:r>
            <w:r w:rsidR="00000000" w:rsidRPr="00000000" w:rsidDel="00000000">
              <w:rPr>
                <w:sz w:val="24"/>
                <w:i w:val="1"/>
                <w:rtl w:val="0"/>
              </w:rPr>
              <w:t xml:space="preserve">euro</w:t>
            </w:r>
            <w:r w:rsidR="00000000" w:rsidRPr="00000000" w:rsidDel="00000000">
              <w:rPr>
                <w:sz w:val="24"/>
                <w:rtl w:val="0"/>
              </w:rPr>
              <w:t xml:space="preserve">, no tā ERAF finansējums – 5 312 500 </w:t>
            </w:r>
            <w:r w:rsidR="00000000" w:rsidRPr="00000000" w:rsidDel="00000000">
              <w:rPr>
                <w:sz w:val="24"/>
                <w:i w:val="1"/>
                <w:rtl w:val="0"/>
              </w:rPr>
              <w:t xml:space="preserve">euro</w:t>
            </w:r>
            <w:r w:rsidR="00000000" w:rsidRPr="00000000" w:rsidDel="00000000">
              <w:rPr>
                <w:sz w:val="24"/>
                <w:rtl w:val="0"/>
              </w:rPr>
              <w:t xml:space="preserve"> un valsts budžeta finansējums – 937 500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kopējais finansējums ir 1 000 000 </w:t>
            </w:r>
            <w:r w:rsidR="00000000" w:rsidRPr="00000000" w:rsidDel="00000000">
              <w:rPr>
                <w:sz w:val="24"/>
                <w:i w:val="1"/>
                <w:rtl w:val="0"/>
              </w:rPr>
              <w:t xml:space="preserve">euro</w:t>
            </w:r>
            <w:r w:rsidR="00000000" w:rsidRPr="00000000" w:rsidDel="00000000">
              <w:rPr>
                <w:sz w:val="24"/>
                <w:rtl w:val="0"/>
              </w:rPr>
              <w:t xml:space="preserve">, no tā ERAF finansējums – 850 000 </w:t>
            </w:r>
            <w:r w:rsidR="00000000" w:rsidRPr="00000000" w:rsidDel="00000000">
              <w:rPr>
                <w:sz w:val="24"/>
                <w:i w:val="1"/>
                <w:rtl w:val="0"/>
              </w:rPr>
              <w:t xml:space="preserve">euro</w:t>
            </w:r>
            <w:r w:rsidR="00000000" w:rsidRPr="00000000" w:rsidDel="00000000">
              <w:rPr>
                <w:sz w:val="24"/>
                <w:rtl w:val="0"/>
              </w:rPr>
              <w:t xml:space="preserve"> un valsts budžeta finansējums – 150 000</w:t>
            </w:r>
            <w:r w:rsidR="00000000" w:rsidRPr="00000000" w:rsidDel="00000000">
              <w:rPr>
                <w:sz w:val="24"/>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Pasākuma ietvaros plānotās atbalstāmās darbības atbilst Intervences laukuma kodam: 93 “Citi rekonstruēti vai modernizēti ceļi (automaģistrāles, valsts reģionālie vai vietējie)” – (finansējums 13 812 500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projekta īstenošanai attiecībā uz ERAF finansējuma un valsts budžeta līdzfinansējuma nodrošināšanu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Nacionālais finansējums ir valsts budžeta finansējums, ievērojot noteikumu 15.punktā paredzēto, ka projekta iesniedzējs ir Satiksmes ministrija, kuras vārdā atbilstoši likuma "Par autoceļiem" 7. panta trešajai daļai un Satiksmes ministrijas deleģēšanas līgumam darbojas VSIA "Latvijas Valsts ceļi", kas veiks Satiksmes ministrijas kā Eiropas Savienības fondu projekta iesniedzēja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īstenošanai, nepieciešamības gadījumā, var piesaistīt papildu publiskos līdzekļus, tas ir, piesaistīt finanšu līdzekļus valsts budžeta programmas 23.00.00. "Valsts autoceļu fonds" finansējuma ietvaros, nepieprasot papildu finansējumu valsts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Satiksmes ministrija, Viedās administrācijas un reģionālās attīstības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esošo regulējumu un neparedz ieviest jaunas politiskās iniciatīvas, līdz ar to noteikumu projektam sabiedrības līdzdalības iespēja netiek nodrošināta, vienlaikus sabiedrības līdzdalība tika nodrošināta vidusposma grozījumu ES kohēzijas politikas programmā 2021.-2027.gadam skaņošanas procesā ES fondu 2021.-2027.gada plānošanas perioda Uzraudzības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piekļuves ceļa uzlabošana" (divējāda lietojuma ceļu satiksmei paredzēta infrastruktūra) MK tika atbalstīta kā viena no prioritātēm (MK 2024.gada 19.septembra ārkārtas sēdes protokola Nr. 38 2. § Informatīvais ziņojums "Par valsts budžeta likumprojektā iekļaujamiem prioritārajiem pasākumiem 2025., 2026., 2027. un 2028. gadam" 5.punkts), kas jāīsteno ES fondu finansējuma ietvaros un ir būtiska valsts drošības un sabiedrības aizsardzības sastāvdaļa.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politikas pamatnostādņu 2021.–2027. gadam mērķis ir radīt priekšnosacījumus visu reģionu ekonomiskā potenciāla attīstībai un sociālekonomisko atšķirību mazināšanai, paaugstinot iekšējo un ārējo konkurētspēju. Mobilitāte reģionos un ceļu atjaunošana un pārbūve ir daļa no pasākumu kopuma reģionu konkurētspējas celšanai un reģionālās attīstības atšķirību mazināšanai. Tāpat ceļu tīkla izmantošanas kvalitāte ir svarīga, lai uzlabotu iedzīvotāju ikdienu, nodrošinot novadu labāku sasniedzamību, sekmējot piekļuvi valsts un pašvaldību sniegtajiem pakalpojumiem un darbavietām.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poligonu piekļuves ceļu uzlabošana un sakārtošana uzlabos transporta kustību arī pašā Aizkraukles novadā, tas uzlabos reģionālo mobilitāti, kā arī pilnvērtīga divvirzienu plūsmas iespējamība mazinās ceļā pavadīto laiku un uzlabos satiksmes drošību.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projektā tiek ievēroti horizontālā principa "Klimatdrošināšana" un principa "Nenodarīt būtisku kaitējumu" (turpmāk – NBK) noteiktie klimata pārmaiņu mazināšanas, pielāgošanos klimata pārmaiņām un vides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horizontālais princips NBK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drošības un vides piekļūstamības uzlabošana neizraisīs negatīvu ietekmi uz pašreizējā klimata un gaidāmā nākotnes klimata radītajām negatīvajām ietekmēm uz projektu, cilvēkiem, dabu vai aktīviem (tostarp infrastruktūru), kā arī neradīs negatīvu ietekmi uz pielāgošanās klimata pārmaiņām mērķu sasniegšanu, jo paredzēts ņemt vērā klimata pārmaiņu radītos potenciālos riskus, kā arī novērst to iespējamo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ietekme uz horizontālā principa "Vienlīdzība, iekļaušana, nediskriminācija un pamattiesību ievērošana" ievērošanu. Noteikumu projektā paredzēts, ka finansējuma saņēmējs uzkrāj datus par projekta ietekmi uz noteiktiem horizontālo principu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projekta ietvaros tiks īstenotas vispārīgas un specifiskas darbības, piemēram, īstenojot projekta komunikācijas aktivitātes, tiks izvēlēta valoda un vizuālie tēli, kas mazina diskrimināciju un stereotipu veidošanos par personām ar invaliditāti, tiks nodrošināts, ka informācija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 Vadlīnijas piekļūstamības izvērtējumam pieejamas šeit: https://www.varam.gov.lv/lv/timeklvietnu-pieklustamibas-vadlinijas)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horizontālā principa "Vienlīdzība, iekļaušana, nediskriminācija un pamattiesību ievērošana" ievērošanu, tādēļ plānotas vispārīgas horizontālā principa darbības, kas vērstas uz dzimumu līdztiesību, piemēram, projekta vadībā tiks virzīti pasākumi, kas sekmē darba un ģimenes dzīves līdzsvaru - paredzot elastīga un nepilna laika darba iespēju nodrošināšanu vecākiem ar bērniem un personām, kuras aprūpē tuviniekus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Projektā tiek ievēroti horizontālā principa "Klimatdrošināšana" un principa "Nenodarīt būtisku kaitējumu" noteiktie klimata pārmaiņu mazināšanas un pielāgošanos klimata pārmaiņām, un vides principi (detalizētāku informāciju skat.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horizontālā principa "Energoefektivitāte pirmajā vietā" īstenošanu, kā arī ir netieša ietekme uz horizontālo principu "Nenodarīt būtisku kaitējumu", "Klimatdrošināšana" un "Vienlīdzība, iekļaušana, nediskriminācija un pamattiesību ievērošana"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finansējuma saņēmējs uzkrāj datus par projekta ietekmi uz horizontālā principa "Vienlīdzība, iekļaušana, nediskriminācija un pamattiesību ievērošana" rādītāju – objektu skaits, kuros ir nodrošināta vides un informācijas piekļūstamība – un citiem horizontālo principu rādītājiem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komunikācijas un vizuālās identitātes prasību pasākumu nodrošināšanu, piemēram, īstenojot projekta komunikācijas aktivitātes, tiks izvēlēta valoda un vizuālie tēli, kas mazina diskrimināciju un stereotipu veidošanos par kādu no dzimumiem, personām ar invaliditāti, reliģisko pārliecību, vecumu, rasi un etnisko izcelsmi vai seksuālo orientāciju u.c.</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25-TA-570</w:t>
    </w:r>
    <w:r>
      <w:br/>
    </w:r>
    <w:r w:rsidR="00000000" w:rsidRPr="00000000" w:rsidDel="00000000">
      <w:rPr>
        <w:rtl w:val="0"/>
      </w:rPr>
      <w:t xml:space="preserve">Izdrukāts 29.07.2026. 23.50 - 3.0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25-TA-570</w:t>
    </w:r>
    <w:r>
      <w:br/>
    </w:r>
    <w:r w:rsidR="00000000" w:rsidRPr="00000000" w:rsidDel="00000000">
      <w:rPr>
        <w:rtl w:val="0"/>
      </w:rPr>
      <w:t xml:space="preserve">Izdrukāts 29.07.2026. 23.50 - 3.0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anotācija_(ex_ante)_25-TA-570.docx</dc:title>
</cp:coreProperties>
</file>

<file path=docProps/custom.xml><?xml version="1.0" encoding="utf-8"?>
<Properties xmlns="http://schemas.openxmlformats.org/officeDocument/2006/custom-properties" xmlns:vt="http://schemas.openxmlformats.org/officeDocument/2006/docPropsVTypes"/>
</file>