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 "Ministru kabinets lēmumu par Atzinības raksta piešķiršanu pieņem ar Ministru kabineta rīkojumu, nosakot, kura amatpersona pasniegs Atzinības rakstu".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vai juridiskajām personām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atbalstīja ierosinājumus par Ministru kabineta Atzinības raksta piešķiršanu 44 personām  (Ministru kabineta Apbalvošanas padomes 2026. gada 14. aprīļa lēmums (Prot. Nr. 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5. oktobra noteikumu Nr. 928 "Kārtība, kādā dibināmi valsts institūciju un pašvaldību apbalvojumi" 59. punktu Atzinības rakstu pasniedz Ministru prezidents vai attiecīgās nozares ministrs svinīgā ceremonijā par godu Latvijas Republikas Neatkarības atjaunošanas dienai un Latvijas Republikas proklamēšanas dienai.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piešķirtu Ministru kabineta Atzinības rakstu, tiek sagatavots Ministru kabineta rīkojums.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26-TA-880</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26-TA-880</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anotācija_(ex_ante)_26-TA-880.docx</dc:title>
</cp:coreProperties>
</file>

<file path=docProps/custom.xml><?xml version="1.0" encoding="utf-8"?>
<Properties xmlns="http://schemas.openxmlformats.org/officeDocument/2006/custom-properties" xmlns:vt="http://schemas.openxmlformats.org/officeDocument/2006/docPropsVTypes"/>
</file>