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20. maija noteikumos Nr. 252 "Kārtība, kādā policija noskaidro, vai bērnam ir īpašas vajadzības, pieaicina kompetentu speciālistu un nodrošina apstākļus bērna īpašo vajadzību apmierināšanai""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nolūkā precizēt informatīvu atsauci uz Eiropas Savienības direktīvu.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nolūkā precizēt informatīvu atsauci uz Eiropas Savienības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Kriminālprocesā”, kas stājās spēkā 2018. gada 25. oktobrī, sākotnējās ietekmes novērtējuma ziņojuma (anotācijas) 5. sadaļā norādīts (https://titania.saeima.lv/LIVS12/SaeimaLIVS12.nsf/0/E6029B526E16BE95C225821F0036067B?OpenDocument#b), ka Eiropas Parlamenta un Padomes 2016. gada 11.maija Direktīvas (ES) 2016/800 par procesuālajām garantijām bērniem, kuri ir aizdomās turētie vai apsūdzētie kriminālprocesā (turpmāk – Direktīva 2016/800) 13. panta 2. punkts tiks transponēts tostarp ar Ministru kabineta 2014. gada 20. maija noteikumiem Nr. 252 "Kārtība, kādā policija noskaidro, vai bērnam ir īpašas vajadzības, pieaicina kompetentu speciālistu un nodrošina apstākļus bērna īpašo vajadzību apmierināšanai" (turpmāk - MK noteikumi Nr. 252).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rosinājusi Iekšlietu ministrijai virzīt grozījumus MK noteikumos Nr. 252, lai ietvertu informatīvu atsauci uz Direktīvu 2016/800.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informatīvu atsauci uz Direktīvu 2016/800.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risinājumi nav iespējami, ievērojot Tieslietu ministrijas rosinātos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Nepilngadīgas personas, attiecībā uz kurām ir noskaidrojams, vai tām nepastāv īpašas 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nebūtiska.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2016/800 24. panta 1. punkts paredz, ka tās normas dalībvalsts tiesību aktos transponējamas līdz 2019. gada 11.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noteikumi Nr. 252, projekta 1. punkts (informatīva atsauce uz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2016/800 24. panta 1. punkts paredz pienākumu paziņot Eiropas Komisijai par tiesību aktiem, ar kuriem transponēta minētā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2016/800 normas transponētas vai tiks pārņemtas ar nacionālajiem tiesību aktiem kā norādīts: https://titania.saeima.lv/LIVS12/SaeimaLIVS12.nsf/0/E6029B526E16BE95C225821F0036067B?OpenDocument#b</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līdzdalības termiņa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iestādes Bērnu tiesību aizsardzības likuma 59. panta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iestāžu funkciju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24-TA-965</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24-TA-965</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anotācija_(ex_ante)_24-TA-965.docx</dc:title>
</cp:coreProperties>
</file>

<file path=docProps/custom.xml><?xml version="1.0" encoding="utf-8"?>
<Properties xmlns="http://schemas.openxmlformats.org/officeDocument/2006/custom-properties" xmlns:vt="http://schemas.openxmlformats.org/officeDocument/2006/docPropsVTypes"/>
</file>