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Fiskālās disciplīnas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Fiskālās disciplīnas likumā" (turpmāk – likumprojekts) izstrādāts, ņemot vērā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(turpmāk – MK) 2025. gada 13. maija sēdes protokola  Nr. 19 50.§ 2.1. apakšpunktu, kas nosaka pienākumu Finanšu ministrijai sagatavot un finanšu ministram likumprojekta "Par valsts budžetu 2026. gadam un budžeta ietvaru 2026., 2027. un 2028. gadam" sagatavošanas grafikā noteiktajā termiņā kā budžeta pavadošo likumprojektu iesniegt izskatīšanai MK likumprojektu "Grozījumi Fiskālās disciplīnas likumā”, ar kuru samazina Fiskālās disciplīnas likuma (turpmāk – FDL) 10. pantā noteikto minimāli plānojamo vispārējās valdības budžeta strukturālo bilanci par 0,5% no iekšzemes produkta (turpmāk – IKP), t.i.  no -1,0% līdz -1,5% no IKP.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stājusies spēkā Padomes 2024. gada 29. aprīļa Direktīva (ES) 2024/1265, ar ko groza Direktīvu 2011/85/ES par prasībām dalībvalstu budžeta struktūrām (turpmāk – Direktīva 2024/1265), attiecīgi ir nepieciešama tās normu pārņemšana un ņemot vērā Direktīvas 2024/1265 pārņemšanas termiņu – 31.12.2025. – paredzēta tās normu piemērošana, sagatavojot likumprojektu "Par valsts budžetu 2026. gadam un budžeta ietvaru 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nepieciešams aktualizēt atsevišķas FDL normas sakarā ar aktualitātes zaudēšanu (tehniski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saņemti Fiskālās disciplīnas padomes (turpmāk – Padomes) priekšlikumi par grozījumiem FDL pantos, kas skar Padomes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īpaši 1) un  2) punktos minēto, likumprojekts tiek virzīts budžetu pavadošo likumprojektu paketē saskaņā likumprojekta "Par valsts budžetu 2026. gadam un budžeta ietvaru 2026., 2027. un 2028. gadam" sagatavošanas grafiku (apstiprināts ar MK 2025. gada 27. marta rīkojumu Nr. 179 (prot. Nr. 12 21.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veikt grozījumus vairākos pantos, bet tie nemaina FDL jēgu un būtību, vienlaicīgi nodrošina MK uzdevuma izpildi, Direktīvas 2024/1265 normu pārņemšanu, kā arī FDL normu aktualitāti un saskanīgumu ar citiem budžetu reglamentējošiem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vienlaikus ar likumu “Par valsts budžetu 2026.gadam un budžeta ietvaru 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satur normas, kas piemērojamas sagatavojot likumprojektu "Par valsts budžetu 2026.gadam un budžeta ietvaru 2026., 2027. un 2028. gadam”, attiecīgi likumprojektam "Grozījumi Fiskālās disciplīnas likumā" jāstājas spēkā vienlaikus ar likumu "Par valsts budžetu 2026. gadam un budžeta ietvaru 2026., 2027. un 2028.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Fiskālās disciplīnas likuma 10. pants nosaka, ka vispārējās valdības budžeta strukturālo bilanci ietvara likumprojektā katram perioda gadam nedrīkst noteikt mazāku par -1,0% no attiecīgā gada IKP. Šis nosacījums ir jāievēro sagatavojot likumprojektu par valsts budžetu kārtējam gadam un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 2024/1265 ir stājusies spēkā 2024. gada 30. aprīlī. Direktīva 2024/1265 ir daļa no Eiropas Savienības ekonomikas pārvaldības ietvara reformas pakotnes, ko bez Direktīvas 2024/1265 veido vēl divas regulas, kas stājās spēkā 2024. gada 30. aprīlī - Eiropas Parlamenta un Padomes 2024. gada 29. aprīļa regula (ES) 2024/1263 par ekonomikas politikas efektīvu koordināciju un budžeta daudzpusēju uzraudzību un ar ko atceļ Padomes regulu (EK) Nr. 1466/97 un Padomes 2024. gada 29. aprīļa  Regula (ES) 2024/1264 , ar ko groza Regulu (EK) Nr. 1467/97 par to, kā paātrināt un precizēt pārmērīga budžeta deficīta novēršanas procedūras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Likumā par budžetu un finanšu vadību (turpmāk – LBFV) ir veikta virkne grozījumu un FDL tiek lietoti termini, kas neatbilst terminoloģijai, kas tiek izmantota LBFV, FDL ir virkne normu, kas zaudējušas aktualitāti, kā arī FDL satur atsauces uz spēku zaudējušiem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FDL nosaka Padomes statusu (21. pants), sastāvu (22. pants), pilnvaras (23. pants) un to termiņu (25. pants), ierobežojumus (24. pants), priekšsēdētāja un tā vietnieka  ievēlēšanas kārtību (26. un 27. pants), kompetenci (28. pants), sagatavojamos ziņojumus (29. pants), sēžu sasaukšanas un lēmumu pieņemšanas kārtību (30. pants), tās darba nodrošināšanas kārtību (31.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13. maijā Ministru kabinetā tika izskatīts informatīvais ziņojums "Plāns efektīvai aizsardzības un drošības finansējuma palielināšanai" 25-TA-776 (IP) (sēdes protokols Nr.19; 50.§) un tā protokollēmuma 1. punktā ir noteikts, ka valsts aizsardzības, NATO spēju mērķu sasniegšanas un drošības vajadzībām, kā arī militārajam atbalstam Ukrainai (turpmāk – papildu nepieciešamie izdevumi) MK ar 2026. gadu plāno virzīties uz izdevumiem 5% apmērā no IKP, kā arī protokollēmuma 2. punktā paredzēti iespējamie papildu nepieciešamo izdevumu finansēšanas avoti, t.sk. vispārējās valdības budžeta deficīta palielinājums, kas 2025.- 2028. gada periodā tiek veikts saskaņā ar valsts izņēmuma klauzulas noteikumiem. No 2029. gada deficīta palielinājums tiek veikts par 0,5% no IKP, samazinot FDL 10. pantā noteikto minimāli plānojamo vispārējās valdības budžeta strukturālo bilanci. Minētā informatīvā ziņojuma protokollēmuma 5. punkts noteica arī to, ka Aizsardzības ministrijai sadarbībā ar Finanšu ministriju un Iekšlietu ministriju  jāsagatavo un aizsardzības ministram jāiesniedz izskatīšanai MK likumprojekts par Aizsardzības un drošības fonda izveidi. Aizsardzības ministrija izstrādāja likumprojektu par Aizsardzības un drošības fonda izveidi (25-TA-1608) un virza to apstiprināšanai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2011/85/ES par prasībām dalībvalstu budžeta struktūrām, kas grozīta ar Direktīvu 2024/1265, 2., 3., 4., 5., 6., 7., 8., 9., 10., 14. panti paredz normas, kuras nepieciešams pārņemt nacionālajos tiesību aktos, proti FDL.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LBFV kopš 2022. gadā veiktajiem grozījumiem, kas stājās spēkā 2022. gada 3. novembrī (publicēts: Latvijas Vēstnesis, 204, 20.10.2022.), netiek lietoti termini “ietvara likums”, “ietvara likuma projekts”, “gadskārtējais”, termins “likuma projekts” aizstāts ar terminu “likumprojekts”, vārdi "vidēja termiņa budžeta ietvara likuma projekts" aizstāti ar vārdiem "valsts budžeta likumprojekts", ņemot vērā to, ka vidēja termiņa budžeta ietvara likumprojektu un gadskārtējo valsts budžeta likumprojektu sagatavo kā vienu likumprojektu (par valsts budžetu), sākot ar likumprojektu par valsts budžetu 2023. gadam un budžeta ietvaru 2023., 2024. un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veikti grozījumi (publicēts: Latvijas Vēstnesis, 248, 19.12.2024), kas noteica, ka vidējs termiņš ir četru gadu periods, ko veido saimnieciskais gads, kuram plāno valsts budžetu, un tam sekojošie trīs saimnieciskie gadi.  LBFV pārejas noteikumi nosaka, ka grozījumi par termina "vidējs termiņš" izteikšanu jaunā redakcijā, grozījumi LBFV 18.1 panta piektajā un desmitajā daļā stāsies spēkā vienlaikus ar attiecīgiem grozījumiem FDL.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izlīdzināšanas mērķis ir vidējā termiņā novērst augsti svārstīgu valsts budžeta izdevumu kategoriju ietekmi uz kopējo valsts budžeta izdevumu apmēru, tādejādi plānošanas fāzē nodrošinot izdevumu stabilitāti vidējā termiņā. Praksē ir pierādījies, ka šis mehānisms nestrādā, jo būtiskāku nenoteiktību rada fondu prognožu un izpildes atšķirības un virssaistību mehānisms. Līdz ar to likumā par budžetu kārtējam gadam un  vidēja termiņa budžeta ietvaru tiek ietverta norma, ka izlīdzinātie izdevumi tiek noteikti faktiski prognozēto izdevumu apjomā, tādā veidā faktiski neveicot izdevumu izlīdzināšanu.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izdevumu izlīdzināšanas mehānisma izslēgšanu no regulējuma nepieciešams aktualizēt apzīmējumu terminam “koriģētie maksimāli pieļaujamie valsts budžeta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1996.gada 25.jūnija regula (EK) Nr. 2223/96 par Eiropas nacionālo un reģionālo kontu sistēmu Kopienā ir zaudējusi spēku, atsauces uz to 2. panta otrajā daļā un 14. panta otrajā daļā ir zaudējušas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FDL ir stājies spēkā 2013. gadā un kopš tā laika panti, kas reglamentē Padomes darbību, nav grozīti. Padome ir vērtējusi normu aktualitāti un konstatējusi nepieciešamību veikt grozījumus. Arī Valsts kontrole finanšu revīzijā “Par Finanšu ministrijas 2016. gada pārskatu” (https://www.lrvk.gov.lv/lv/revizijas/revizijas/noslegtas-revizijas/par-finansu-ministrijas-2016gada-parskatu, skat. 1.3. sadaļa) ir ieteikusi Finanšu ministrijai sadarbībā ar Padomi izvērtēt tās darbības atbilstību tiesiskajam statusam un nepieciešamības gadījumā iniciēt grozījumus normatīvajos aktos, lai nodrošinātu Padomes darbības atbilstību normatīvajos aktos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MK 2025. gada 13. maija sēdes protokola  Nr. 19, 50.§ 2.1. apakšpunktā un 5. punktā noteikto, tiek veikti grozījumi FDL 10. pantā par 0,5% no IKP, samazinot noteikto minimāli plānojamo vispārējās valdības budžeta strukturālo bilanci.  Pārejas noteikumu 12. punktā tiek atrunāts 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2011/85/ES par prasībām dalībvalstu budžeta struktūrām, kas grozīta ar Direktīvu 2024/1265, 2., 3., 4., 5., 6., 7., 8., 9., 10., 14. pantu normas tiek pārņemtas, veicot grozījumus 5. panta ceturtās daļas 2. punktā, 12. panta trešajā daļā, 13. pantā, 21. pantā (par norādījumu nepieņemšanu), 28. panta septītajā daļā, kā arī 5. panta ceturto daļu papildinot ar 8. punktu, 16. panta ceturto daļu papildinot ar 7. un 8. punktu, 20. pantu papildinot ar piekto daļu, 28. pantu papildinot ar 6.</w:t>
      </w:r>
      <w:r w:rsidR="00000000" w:rsidRPr="00000000" w:rsidDel="00000000">
        <w:rPr>
          <w:vertAlign w:val="superscript"/>
          <w:rtl w:val="0"/>
        </w:rPr>
        <w:t xml:space="preserve">1</w:t>
      </w:r>
      <w:r w:rsidR="00000000" w:rsidRPr="00000000" w:rsidDel="00000000">
        <w:rPr>
          <w:rtl w:val="0"/>
        </w:rPr>
        <w:t xml:space="preserve">, 6.</w:t>
      </w:r>
      <w:r w:rsidR="00000000" w:rsidRPr="00000000" w:rsidDel="00000000">
        <w:rPr>
          <w:vertAlign w:val="superscript"/>
          <w:rtl w:val="0"/>
        </w:rPr>
        <w:t xml:space="preserve">2 </w:t>
      </w:r>
      <w:r w:rsidR="00000000" w:rsidRPr="00000000" w:rsidDel="00000000">
        <w:rPr>
          <w:rtl w:val="0"/>
        </w:rPr>
        <w:t xml:space="preserve">un 6.</w:t>
      </w:r>
      <w:r w:rsidR="00000000" w:rsidRPr="00000000" w:rsidDel="00000000">
        <w:rPr>
          <w:vertAlign w:val="superscript"/>
          <w:rtl w:val="0"/>
        </w:rPr>
        <w:t xml:space="preserve">3</w:t>
      </w:r>
      <w:r w:rsidR="00000000" w:rsidRPr="00000000" w:rsidDel="00000000">
        <w:rPr>
          <w:rtl w:val="0"/>
        </w:rPr>
        <w:t xml:space="preserve"> daļu un ar vienpadsmito daļu, 29. pantu papildinot ar jaunu daļu, kā arī papildinot FDL ar 32.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aizstātu atsauces uz spēku zaudējušiem tiesību aktiem, kā arī nodrošinātu nepārprotamu uztveramību, piemērojamību un vienotu izpratni dabā, tiek veikti tehniski grozījumi 2., 5., 6., 7., 9., 10., 11., 12., 13., 14., 15., 16., 17., 20., 28., 29. pantos (izņemot tos, kas minēti šīs sadaļas 1), 2) vai 4) punktā), kā arī tiek izslēgti 8. un 18. panti: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visā likumā attiecīgā locījumā tiek aizstāti vārdi “likuma projekts” ar vārdu “likumprojekts”, vārdi “ietvara likums” ar vārdiem “valsts budžeta likums”, vārdi “ietvara likuma projekts” ar vārdiem “valsts budžeta likumprojekts”; vārdi “koriģētie maksimāli pieļaujamie valsts budžeta izdevumi” ar vārdiem “ietvara maksimāli pieļaujamie valsts budžeta izdevumi”, kā arī tiek izslēgts 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to, ka gadskārtējais valsts budžeta likums netiek vairs sagatavots kā atsevišķs dokuments, tad FDL atsauce uz to tiek aizstāta ar valsts budžeta likumu vai valsts budžeta kārtējam gadam projektu atbilstoši kontekstam;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LBVF regulējumu tiek salāgotas pozīcijas, kurās attiecīgajos gadījumos tiek veiktas izmaiņas, izstrādājot likumprojektu par valsts budžetu kārtējam gadam un vidēja termiņa budžeta ietvaru, proti, regulējums papildināts ar pozīciju “prognozētās izdienas pensiju vidējo apmēru izmaiņas”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regulējuma tiek izslēgts izdevumu izlīdzināšanas mehānisms un tiek veikti attiecīgie grozījumi 5. panta trešajā daļā, 7. panta otrajā daļā, 16. panta piektās daļas 2. punktā, kā arī tiek izslēgts 18.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atsauces uz Padomes 1996.gada 25.jūnija regulu (EK) Nr. 2223/96 par Eiropas nacionālo un reģionālo kontu sistēmu Kopienā 2. panta otrajā daļā un 14. panta otrajā daļā tiek aizstātas ar atsauci uz Eiropas Parlamenta un Padomes (ES) 2013. gada 21. maija regulu Nr. 549/2013 par Eiropas nacionālo un reģionālo kontu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likumu četriem gadiem sagatavošana paredzēta sākot ar likumprojektu “Par valsts budžetu 2027.gadam un budžeta ietvaru 2027., 2028., 2029. un 2030. gadiem”, tas tiek noteikts Pārejas noteikumu 10. punktā. Attiecīgi 5. panta pirmās daļas nosacījumi attiecībā uz ietvara maksimāli pieļaujamiem valsts budžeta izdevumiem 2029. gadam netiek piemēroti, izstrādājot likumprojektu “Par 2027.gada budžetu un budžeta ietvaru 2027., 2028, 2029. un 2030. gadam” (Pārejas noteikumu 11.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aktualizētu Padomes darbību regulējošos pantus, tiek veikti grozījumi FDL 21., 28., 31.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veikts grozījums FDL 10. pantā, nav iespējams veikt vispārējās valdības budžeta deficīta palielinājumu papildu nepieciešamo izdevumu finansēšanai no 2029. gada, netiek izpildītas ES dalībvalsts saistības par Direktīvas 2024/1265 pārņemšanas termiņa (31.12.2025.) ievērošanu, kā arī FDL tiek izmantota novecojusi terminoloģija un mehānismi, kas praksē netiek piemēroti. Turklāt, tiek traucēta Padomes darbības efektivitāte.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darbība tiks nodrošināta piešķirto valsts budžeta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virzīts budžetu pavadošo likumprojektu paketē saskaņā likumprojekta "Par valsts budžetu 2026. gadam un budžeta ietvaru 2026., 2027. un 2028. gadam" sagatavošanas grafiku (apstiprināts ar MK 2024. gada 28. marta rīkojumu Nr. 235 (prot. Nr. 13 45.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satur valsts budžeta sagatavošanas regulējošas normas, kuras tiks piemērotas likumprojekta "Par valsts budžetu 2026. gadam un budžeta ietvaru 2026., 2027. un 2028. gadam" sagatavošanā.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“Noteikumi par valsts parāda apkalpošanas izlīdzināto izdevumu aprēķināšanas metodoloģiju”.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spēkā esošā FDL 18.panta septītā daļa nosaka, ka Ministru kabinets apstiprina valsts parāda apkalpošanas izlīdzināto izdevumu aprēķināšanas metodoloģiju. Sakarā ar  FDL 18. panta izslēgšanu zaudē spēku Ministru kabineta 2014.gada 29.aprīļa noteikumi Nr.228 (prot. Nr.25 8.§) “Noteikumi par valsts parāda apkalpošanas izlīdzināto izdevumu aprēķināšanas metodoloģiju”.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2024. gada 29. aprīļa Direktīva (ES) 2024/1265, ar ko groza Direktīvu 2011/85/ES par prasībām dalībvalstu budžeta struktūrām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5.4.1.tabulu.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32013R0549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21. maija Regula (ES) Nr. 549/2013 par Eiropas nacionālo un reģionālo kontu sistēmu Eiropas Savienībā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1996.gada 25.jūnija regula (EK) Nr. 2223/96 par Eiropas nacionālo un reģionālo kontu sistēmu zaudēja spēku stājoties spēkā Eiropas Parlamenta un Padomes 2013. gada 21. maija Regulai (ES) Nr. 549/2013 par Eiropas nacionālo un reģionālo kontu sistēmu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ietvertās normas netiek pārņemtas, bet tieši piemērotas.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32024R1263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29. aprīļa Regula (ES) 2024/1263 par ekonomikas politikas efektīvu koordināciju un budžeta daudzpusēju uzraudzību un ar ko atceļ Padomes Regulu (EK) Nr. 1466/97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ietvertās normas netiek pārņemtas, bet tieši piemērotas.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31997R1467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1997. gada 7. jūlija Regula (EK) Nr. 1467/97 par to, kā paātrināt un precizēt pārmērīga budžeta deficīta novēršanas procedūras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ietvertās normas netiek pārņemtas, bet tieši piemērotas.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2024. gada 29. aprīļa Direktīva (ES) 2024/1265, ar ko groza Direktīvu 2011/85/ES par prasībām dalībvalstu budžeta struktūrām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b) daļas iii)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5. panta trešā daļa 3. punkts un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5. panta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trešās daļas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20.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piektā daļa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12. panta pirmās daļas 3. punkta un trešā daļa;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5. pants,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28, 29. pants, 30. pants ceturtā dala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31.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28. panta 6.</w:t>
            </w:r>
            <w:r w:rsidR="00000000" w:rsidRPr="00000000" w:rsidDel="00000000">
              <w:rPr>
                <w:sz w:val="24"/>
                <w:vertAlign w:val="superscript"/>
                <w:rtl w:val="0"/>
              </w:rPr>
              <w:t xml:space="preserve">1</w:t>
            </w:r>
            <w:r w:rsidR="00000000" w:rsidRPr="00000000" w:rsidDel="00000000">
              <w:rPr>
                <w:sz w:val="24"/>
                <w:rtl w:val="0"/>
              </w:rPr>
              <w:t xml:space="preserve">.-6.</w:t>
            </w:r>
            <w:r w:rsidR="00000000" w:rsidRPr="00000000" w:rsidDel="00000000">
              <w:rPr>
                <w:sz w:val="24"/>
                <w:vertAlign w:val="superscript"/>
                <w:rtl w:val="0"/>
              </w:rPr>
              <w:t xml:space="preserve">3</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28. pants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28. panta vienpadsmitā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devītā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29.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5. panta trešā un ceturtā daļa,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5. panta trešā daļa un ceturtās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desmitā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5. panta ceturtās daļas 2. punkts un 16. panta ceturtās daļas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vienpadsmitā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četrpadsmitā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5. panta ceturtās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2024/1265 1. panta četrpadsmitā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5. panta ceturtā daļa, 16. panta ceturtās daļas 7. un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ailē Projekta vienība, kas pārņem vai ievieš A minēto atbilstība norādīta par FDL pantiem ar likumprojektā ietvertajiem grozījumiem.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21. maija Regula (ES) Nr. 549/2013 par Eiropas nacionālo un reģionālo kontu sistēmu Eiropas Savienībā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(ES) 2013. gada 21. maija regulas Nr. 549/2013 par Eiropas nacionālo un reģionālo kontu sistēmu Eiropas Savienībā, t.sk. A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ietvertās normas netiek pārņemtas, bet tieši piemērotas.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29. aprīļa Regula (ES) 2024/1263 par ekonomikas politikas efektīvu koordināciju un budžeta daudzpusēju uzraudzību un ar ko atceļ Padomes Regulu (EK) Nr. 1466/97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29. aprīļa Regulas (ES) 2024/1263 par ekonomikas politikas efektīvu koordināciju un budžeta daudzpusēju uzraudzību un ar ko atceļ Padomes Regulu (EK) Nr. 1466/97 11.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ietvertās normas netiek pārņemtas, bet tieši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28. panta 6.</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29. aprīļa Regulas (ES) 2024/1263 par ekonomikas politikas efektīvu koordināciju un budžeta daudzpusēju uzraudzību un ar ko atceļ Padomes Regulu (EK) Nr. 1466/97 15.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ietvertās normas netiek pārņemtas, bet tieši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28. panta 6.</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29. aprīļa Regulas (ES) 2024/1263 par ekonomikas politikas efektīvu koordināciju un budžeta daudzpusēju uzraudzību un ar ko atceļ Padomes Regulu (EK) Nr. 1466/97 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ietvertās normas netiek pārņemtas, bet tieši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28. panta 6.</w:t>
            </w:r>
            <w:r w:rsidR="00000000" w:rsidRPr="00000000" w:rsidDel="00000000">
              <w:rPr>
                <w:sz w:val="24"/>
                <w:vertAlign w:val="superscript"/>
                <w:rtl w:val="0"/>
              </w:rPr>
              <w:t xml:space="preserve">2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29. aprīļa Regulas (ES) 2024/1263 par ekonomikas politikas efektīvu koordināciju un budžeta daudzpusēju uzraudzību un ar ko atceļ Padomes Regulu (EK) Nr. 1466/97 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ietvertās normas netiek pārņemtas, bet tieši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12., 13.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29. aprīļa Regulas (ES) 2024/1263 par ekonomikas politikas efektīvu koordināciju un budžeta daudzpusēju uzraudzību un ar ko atceļ Padomes Regulu (EK) Nr. 1466/97 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ietvertās normas netiek pārņemtas, bet tieši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FDL 12., 13.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ailē Projekta vienība, kas pārņem vai ievieš A minēto atbilstība norādīta par FDL pantiem ar likumprojektā ietvertajiem grozījumiem.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1997. gada 7. jūlija Regula (EK) Nr. 1467/97 par to, kā paātrināt un precizēt pārmērīga budžeta deficīta novēršanas procedūras īstenošanu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1997. gada 7. jūlija Regula (EK) Nr. 1467/97 par to, kā paātrināt un precizēt pārmērīga budžeta deficīta novēršanas procedūras īstenošanu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ietvertās normas netiek pārņemtas, bet tieši piemērotas.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un komunikācijas aktivitātes netika organizētas, jo likumprojekts sabiedrību tieši neskar, bet gan regulē budžeta sagatavošanas procesu, piemērojot FDL regulējumu.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disciplīnas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25-TA-2059</w:t>
    </w:r>
    <w:r>
      <w:br/>
    </w:r>
    <w:r w:rsidR="00000000" w:rsidRPr="00000000" w:rsidDel="00000000">
      <w:rPr>
        <w:rtl w:val="0"/>
      </w:rPr>
      <w:t xml:space="preserve">Izdrukāts 29.07.2026. 23.57 - 2.0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25-TA-2059</w:t>
    </w:r>
    <w:r>
      <w:br/>
    </w:r>
    <w:r w:rsidR="00000000" w:rsidRPr="00000000" w:rsidDel="00000000">
      <w:rPr>
        <w:rtl w:val="0"/>
      </w:rPr>
      <w:t xml:space="preserve">Izdrukāts 29.07.2026. 23.57 - 2.0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anotācija_(ex_ante)_25-TA-2059.docx</dc:title>
</cp:coreProperties>
</file>

<file path=docProps/custom.xml><?xml version="1.0" encoding="utf-8"?>
<Properties xmlns="http://schemas.openxmlformats.org/officeDocument/2006/custom-properties" xmlns:vt="http://schemas.openxmlformats.org/officeDocument/2006/docPropsVTypes"/>
</file>