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"Eiropas Savienības kohēzijas politikas programmas 2021.–2027. gadam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4.2.4.3. pasākuma "Digitālo prasmju pilnveide"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(turpmāk – MK) noteikumu projekts "Eiropas Savienības kohēzijas politikas programmas 2021.–2027. gadam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4.2.4.3. pasākuma "Digitālo prasmju pilnveide" īstenošanas noteikumi" (turpmāk – noteikumu projekts) izstrādāts, pamatojoties uz Eiropas Savienības fondu 2021. – 2027. gada plānošanas perioda vadības likuma 19. panta 6. un 13. punktu. Noteikumu projekta ietvaros tiks sniegts atbalsts sabiedrības digitālo iespēju izmantošanas veicināšanai saskaņā ar Digitālās transformācijas pamatnostādnēm 2021. – 2027. gadam (apstiprinātas ar MK 2021. gada 7. jūlija rīkojumu Nr. 490 "Par Digitālās transformācijas pamatnostādnēm 2021.-2027. gadam").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veicināt digitālo pašapkalpošanās prasmju attīstību sabiedrībā, pilnveidot Valsts un pašvaldību vienoto klientu apkalpošanas centru (turpmāk – VPVKAC) darbinieku digitālās prasmes un veicināt uz sabiedrību un uzņēmējiem orientēto digitālo iespēju un platformu izmantošanu, tādējādi paaugstinot informācijas un komunikācijas tehnoloģiju iespēju izmantošanu un mazinot digitālo plaisu sabiedrībā.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pamatnostādnēs 2021.– 2027. gadam (apstiprinātas ar MK 2021. gada 7. jūlija rīkojumu Nr. 490 "Par Digitālās transformācijas pamatnostādnēm 2021.-2027. gadam") digitālo prasmju attīstīšana ir noteikta par valsts prioritāti.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dekādes 2023. gada ziņojumā par Latviju (pieejams tīmekļvietnē: </w:t>
      </w:r>
      <w:r w:rsidR="00000000" w:rsidRPr="00000000" w:rsidDel="00000000">
        <w:rPr>
          <w:i w:val="1"/>
          <w:rtl w:val="0"/>
        </w:rPr>
        <w:t xml:space="preserve">https://digital-strategy.ec.europa.eu/en/library/2023-report-state-digital-decade</w:t>
      </w:r>
      <w:r w:rsidR="00000000" w:rsidRPr="00000000" w:rsidDel="00000000">
        <w:rPr>
          <w:rtl w:val="0"/>
        </w:rPr>
        <w:t xml:space="preserve">) iekļauts Eiropas Komisijas ieteikums Latvijai turpināt paātrināt centienus digitalizēt publiskos pakalpojumus un attīstīt digitālos publiskos pakalpojumus gan iedzīvotājiem, gan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lēmumā (ES) 2022/2481 (2022. gada 14. decembris), ar ko izveido politikas programmu "Digitālās desmitgades ceļš" 2030. gadam (turpmāk – Dekādes programma), ir noteikti līdz 2030. gadam sasniedzamie vispārīgie digitālie mērķi un digitālie mērķrādītāji, to sasniegšanas uzraudzība un arī daudzvalstu projektu veidošana. Dekādes programmā noteikto digitālo mērķrādītāju sasniegšanas uzraudzība paredz Eiropas Savienības dalībvalstīm iesniegt Eiropas Komisijai valstu digitālās desmitgades stratēģiskos ceļvežus par laiku līdz 2030. gadam, rosinot, ja tas iespējams un izmērāms valstu līmenī, valstu prognozētās trajektorijas, kurās apraksta pieņemtos, plānotos vai īstenotos instrumentus, lai dotu ieguldījumu Dekādes programmā izklāstīto vispārīgo mērķu un digitālo mērķrādītāju sasniegšanā Eiropas Savienības līmenī. Lai nodrošinātu minētā uzdevuma izpildi, 2024. gada 30. janvārī MK tika pieņemts informatīvais ziņojums "Digitālās desmitgades stratēģiskais ceļvedis Latvijai līdz 2030. gadam" (protokols Nr.5/25§), kurā iekļauta informācija par Latvijas apņemšanos sasniegt Eiropas Komisijas izvirzīto mērķi līdz 2030. gadam – nodrošināt, ka visi galvenie publiskie pakalpojumi iedzīvotājiem un uzņēmējiem ir pieejami tiešsaistē. Tie ietver galvenos publiskos pakalpojumus, kas sniedzami iedzīvotājiem tiešsaistē, mērot pēc tā, kāds ir administratīvo procedūru īpatsvars, ko svarīgu dzīves notikumu gadījumā var pilnībā izpildīt tiešsaistē. Tas attiecas uz šādiem dzīves notikumiem: pārvākšanās, transports, maza apmēra prasību procedūras sākšana, ģimene, profesionālā dzīve, studijas, veselība.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pamatnostādnēs 2021.–2027. gadam noteikts, ka valsts pakalpojumi primāri tiek sniegti digitāli, nodrošinot to saņemšanu personai piemērotākajā, vienotā, profesionālā tīklā.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iedzīvotāju digitālo prasmju līmeni Eiropas Komisija ir noteikusi mērķi panākt, ka vismaz pamata digitālās prasmes ir 80% Eiropas Savienības iedzīvotāju.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prasmes ir starpnozaru caurviju prasmes, no kuru kvalitātes digitālās transformācijas procesā ir atkarīgas indivīda iespējas izglītoties, konkurēt darba tirgū un pilnvērtīgi iesaistīties sabiedrības procesos. Salīdzinot ar citām Eiropas Savienības valstīm, Latvija ievērojami atpaliek digitālo tehnoloģiju izmantošanā. Ir jāpārvar digitālā plaisa, lai visiem Latvijas iedzīvotājiem būtu pieejamas iespējas attīstīt savas digitālās prasmes.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Digitālās dekādes 2023. gada ziņojumā par Latviju norādītajam, Latvija 2022.gadā bija nedaudz zem Eiropas Savienības vidējā rādītāja vismaz digitālo pamatprasmju ziņā (51% salīdzinājumā ar 54 %), taču atbilstoši Digitālās dekādes 2024. gada ziņojumā par Latviju norādītajam minētais rādītājs vismaz digitālo pamatprasmju ziņā 2023. gadā ir vēl samazinājies (45,3%, ES vidējais rādītājs – 55,6%). Līdz ar to Latvijas rādītājs ir ievērojami zemāks par Dekādes programmā noteikto mērķrādītāju – 80 % līdz 2030.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Iedzīvotāju pamata digitālo prasmju trūkums visos līmeņos un zemā izglītības līmeņa līdzdalība ir divi izaicinājumi, kurus Latvija ir identificējusi, lai sasniegtu 2030. gada mērķus. Digitālo prasmju trūkums ne tikai nosaka nepieciešamību pēc pasākumiem, kas vērsti uz katru sabiedrības grupu (ieskaitot vecumu, dzimumu, izglītības līmeni u.c.), bet arī kavē uzņēmumu, valsts un pašvaldības iestāžu procesu digitalizāciju.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pat laikā Eiropas Komisijas Digitālās ekonomikas un sabiedrības indeksa (DESI) rezultāti liecina, ka Latvijai ir labi rezultāti digitālo publisko pakalpojumu pieejamības jomā un Digitālās dekādes 2024. gada ziņojumā norādīts, ka gan attiecībā uz digitālo publisko pakalpojumu pieejamību iedzīvotājiem (ar 88,2), gan uzņēmumiem (87,2) Latvija atrodas virs ES vidējā rādītāja (attiecīgi 79,4 un 85,4). Savukārt saskaņā ar Latvijas Atvērto datu portālā pieejamajiem datiem elektronisko pakalpojumu lietošanas pieaugums ir salīdzinoši neliels, piemēram, 2023. gadā, salīdzinot ar 2022. gadu, elektronisko pakalpojumu lietošanas reižu skaits ir pieaudzis vien par 5,9 %. Ievērojot minēto, veidojas plaisa starp publisko un privāto elektronisko pakalpojumu piedāvājumu un prasmēm to izmantot. Digitālās desmitgades ceļa mērķis ir panākt, ka visiem galvenajiem publiskajiem pakalpojumiem iedzīvotājiem un uzņēmumiem 2030. gadā jābūt pilnībā pieejamiem tiešsaistē. Tas paaugstina arī risku, ka lielai sabiedrības daļai primāri nepieciešamie pakalpojumi, kas ir būtiski iedzīvotāju dzīves kvalitātes nepasliktināšanai (izglītība, nodarbinātība, publisko, privāto un sabiedrisko pakalpojumu sniedzēju pakalpojumi u.c.) var būt pieejami ierobežotā apjomā vai nav pieejami vispār.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minētais liecina par nepieciešamību īstenot dažāda veida izglītojošas un informējošas aktivitātes un pasākumu kopumus, lai sasniegtu 2030. gada mērķus attiecībā uz iedzīvotāju digitālo pamatprasmju pilnveidi, kā arī panāktu pilnīgu publisko pakalpojumu pieejamību tiešsaistē.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augstāk minētos Dekādes programmā noteiktos mērķus, ir jāturpina īstenot mērķtiecīgi pasākumi digitālo risinājumu izmantošanas veicināšanai, līdz ar to 4.2.4.3. pasākuma "Digitālo prasmju pilnveide" (turpmāk – 4.2.4.3. pasākums) ietvaros ir plānoti ieguldījumi gan mācību, gan komunikāciju aktivitāšu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4.2.4.3. pasākuma atbalstāmās darbības ir plānotas atbilstoši Latvijas Nacionālā attīstības plāna 2021. – 2027. gadam (turpmāk – NAP) rīcības virziena "Tehnoloģiskā vide un pakalpojumi" izvirzītajam mērķim “Digitalizējot transformēta publiskā pārvalde, racionāli pārvaldīta organizatoriskā un tehnoloģiskā ekosistēma, kas ir iekšēji integrēta un ārēji atvērta kopīgas vērtības radīšanai, inovācijām un lietotājorientētai pieejai publisko pakalpojumu sniegšanā fiziskajā un digitālajā vidē” un uzdevumam, veicinot digitālo risinājumu izmantošanu, paaugstinot iedzīvotāju digitālās prasmes.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ir augsts līmenis izveidoto digitālo pakalpojumu pieejamībā, atbilstoši Digitālās dekādes 2023. gada ziņojuma par Latviju datiem, Latvijā digitālo pakalpojumu pieejamība iedzīvotājiem rādītājs ir 87,17, kas ir augstāks kā vidēji ES, kur rādītājs ir 77,03. Vienlaikus ir jāīsteno pasākumi šo risinājumu izmantošanas veicināšanai, lai nodrošinātu digitālajos risinājumos ieguldīto līdzekļu lielāku atdevi un lietderību, jo ik gadu pakalpojumu pieejamība pieaug, bet atbilstoši Digitālās dekādes 2023. gada ziņojuma par Latviju datiem, e-pakalpojumus 2023. gadā izmantoja 76,96%, bet 2022.gadā 83,95%. 2022. gadā e-pakalpojumu izmantošana tika veicināta, īstenojot mācību un komunikāciju pasākumus par digitālajiem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(turpmāk – ANM) plāna ietvaros tiek īstenoti pasākumi digitālo prasmju uzlabošanai, t.sk. 2.3.2.1.i. “Digitālās prasmes iedzīvotājiem t.sk. jauniešiem” investīcijas ietvaros projekts “Sabiedrības digitālo prasmju attīstība”, kura ietvaros plānots nodrošināt, ka pieaug to iedzīvotāju īpatsvars, kuriem ir pilnveidotas digitālās pašapkalpošanās prasmes, lai iedzīvotāji spētu pilnvērtīgi izmantot valsts un pašvaldību nodrošinātos digitālos pakalpojumus. Taču, kā rāda statistikas datu tendences un līdzšinējā pieredze, šādu pasākumu īstenošana jānodrošina nepārtraukti – arī pēc ANM plāna īstenošanas, ņemot vērā digitālo tehnoloģiju dinamiski straujo attīstības tempu, kā arī ņemot vērā Digitālās dekādes 2024. gada ziņojumā par Latviju uzsvērto, ka ir svarīgi turpināt koncentrēties uz vismaz pamata digitālo prasmju uzlabošanu un jāpalielina investīcijas šajā jomā, kā arī jānodrošina, lai neviens netiktu atstāts novārtā. ANM plāna īstenošanas rezultātā digitālās pašapkalpošanās prasmes laika periodā līdz 2026.gada vidum būs pilnveidojuši vismaz 40 000 iedzīvotāji un tiks apmācīti indikatīvi 250 mācību pasniedzēji (mentori), kas nodrošinās iedzīvotāju apmācību projekta ietvaros. Savukārt 4.2.4.3. pasākuma ietvaros paredzētas ikgadējās apmācības vismaz 400 VPVKAC tīkla darbiniekiem, kuru ikdienas pienākumi ir pamatā saistīti ar pakalpojumu un atbalsta sniegšanu iedzīvotājiem VPVKAC tīkla darbības ietvaros. VPVKAC darbinieku apmācībās būs ietvertas mācību tēmas ne tikai par e-pakalpojumu un citu digitālo valsts risinājumu izmantošanas iespējām, bet arī specifiski jautājumi un tēmas, kas saistītas ar VPVKAC tīkla darbību un tā aktualitātēm, pakalpojumu sniegšanu iedzīvotājiem u.tml. Attiecīgi, vismaz 400 VPVKAC tīkla darbinieku apmācību rezultātā tiks nodrošināta augstākas kvalitātes pakalpojumu un konsultāciju sniegšana iedzīvotājiem VPVKAC tīklā, tādējādi papildinot (nevis dublējot) pašvaldību organizētās digitālo prasmju mācības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4.2.4.3. pasākuma ietvaros ir paredzēts turpināt ANM projektā ietvaros iesākto sadarbību ar pašvaldībām iedzīvotāju digitālās pašapkalpošanās prasmju veicināšanas jomā, lai, papildus ANM tvērumam, kura aktivitātes pašvaldībām ir uzdevums nodrošināt vismaz trīs gadus pēc ANM projekta aktivitāšu īstenošanas beigām, varētu īstenot turpmākas apmācības paplašinātā tvērumā, ievērojot arī turpmākajos gados aktuālās papildu mācību vajadzības, ņemot vērā digitālo tehnoloģiju dinamiski straujo attīstības tempu un nepieciešamību pielāgoties 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izaicinājumu risināšanai ir nepieciešama kompleksa pieeja un, ņemot vērā, ka identificētie šķēršļi patstāvīgai digitālo pakalpojumu un risinājumu izmantošanai ietver gan nepietiekamas prasmes, gan lietošanas ieradumus, ir būtiski paaugstināt dažādu sabiedrības grupu digitālās prasmes un informētības līmeni par digitālo risinājumu priekšrocībām un pieejamību. Arī ES fondu 2014.‑ 2020. gada plānošanas perioda pieredze liecina, ka centralizēti īstenotie komunikācijas pasākumi ir veicinājuši izveidoto valsts digitālo risinājumu izmantošanas līmeņa pieaugumu.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4.2.4.3. pasākuma ietvaros atbalsts sabiedrības digitālo iespēju izmantošanas veicināšanai plānots trīs virzienos: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tiks sniegts atbalsts iedzīvotāju digitālo pašapkalpošanās prasmju pilnveidei. Pasākuma ietvaros plānots apmācīt vismaz 13 600 iedzīvotājus. lai tiem būtu nodrošinātas padziļinātas digitālās pašapkalpošanās prasmes.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padziļinātām digitālās pašapkalpošanās prasmēm tiek saprastas personas spējas, papildus pamata digitālajām prasmēm, patstāvīgi izmantot publiskos un privātos digitālos pakalpojumus, tai skaitā drošu elektronisko parakstu, e-adresi u.c., lai turpmāk no jebkuras vietas, jebkurā laikā droši sūtītu un saņemtu iesniegumus, pakalpojumu pieprasījumus, oficiālas vēstules, citus dokumentus, kā arī citādi pilnvērtīgi izmantotu valsts pārvaldes un pašvaldību izveidotos digitālos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tiks pārskatīti, aktualizēti un pilnveidoti ANM plāna prasmju projekta ietvaros izstrādātās mācību programmas un mācību materiāli par digitālās pašapkalpošanās prasmēm, kurus iedzīvotāji var apgūt pašmācību ceļā vai ar pasniedzēju atbalstu. Ar šādām mācībām tiks nodrošināta iedzīvotāju (īpaši tās sabiedrības daļas, kurai ir zemas digitālās prasmes vai nav vispār) digitālo pašapkalpošanās prasmju attīstība, jo īpaši attiecībā uz publisko un privāto digitālo pamata (primāro) pakalpojumu lietošanu, lai apmācību rezultātā iedzīvotāji, spētu saņemt sev nepieciešamos pakalpojumus elektroniski. Apmācību ietvaros tiks integrēts arī kiberdrošības un uzticamības jautājums, jo īpaši kontekstā ar Eiropas Komisijas 2024.gada 30.oktobra ziņojumā par Eiropas civilās un militārās sagatavotības un gatavības stiprināšanu (https://commission.europa.eu/document/download/5bb2881f-9e29-42f2-8b77-8739b19d047c_en?filename=2024_Niinisto-report_Book_VF.pdf) norādīto rekomendāciju Eiropas Savienības valstīm ieguldīt iedzīvotāju risku izglītībā, iekļaujot dažādas dimensijas, t.sk. kiberdrošības un dezinformācijas aspektu.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nomērītu sabiedrības digitālās pašapkalpošanās prasmes un sekotu līdzi paradumu maiņai izmantot primāros publiskos un privātos pakalpojumus digitālā veidā, VARAM veiks mērķa grupas monitoringu, kura ietvaros tiks nodrošināta iedzīvotāju pašnovērtējuma zināšanu testa organizēšana, lai novērtētu iedzīvotāju digitālo prasmju līmeni.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pasākuma mērķa grupa - iedzīvotāji ir informēti par savām tiesībām piedalīties mācības, ir paredzēts komunicēt vairākos veidos: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iedzīvotāji par iespēju piedalīties mācībās tiks informēti caur digitālām platformām, (piemēram, e-pasti, sociālie tīkli, mājaslapas);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ieviešanas laikā, īstenojot projekta ietvaros paredzētās komunikācijas aktivitātes;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nododot informāciju Digitālajiem inovāciju centriem (piemēram, Kuldīgas digitālajam inovāciju centram, Cēsu digitālajam centram).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tiks izglītoti vismaz 400 VPVKAC darbinieki, kas sniedz atbalstu iedzīvotājiem digitālo risinājumu izmantošanā. Lai mērītu mērķgrupas mācību rezultātā iegūtās zināšanas un publisko un privāto pakalpojumu izmantošanu, tiks izveidots un aprobēts praksē monitoringa ietvars. VPVKAC darbinieku skaits, kas piedalīsies apmācībās, noteikts, balstoties uz šobrīd jau esošo VPVKAC tīkla kontaktpunktu skaitu (223 kontaktpunkti) un VARAM ANM projekta “Pakalpojumu sniegšanas reformas atbalsts” ietvaros izveidojamo VPVAKC tīkla kontaktpunktu skaitu (99 kontaktpunkti), kopā 322 VPVKAC tīkla kontaktpunkti, kuros katrā tiek nodarbināts vismaz viens darbinieks. Papildus, nosakot mācību dalībnieku skaitu, tiek ņemts vērā, ka, sākot ar 2026.gada otro pusi, jaunu VPVKAC tīkla kontaktpunktu izveide tiks finansēta no valsts budžeta dotācijas līdzekļiem, attiecīgi prognozējams gan VPVKAC tīkla kontaktpunktu skaita, gan darbinieku skaita pieaugums. Tāpat tiek ņemts vērā, ka VPVKAC darbinieku mācības notiek katru gadu un projekta īstenošanas laikā šādas mācības tiks organizētas vairākas reizes.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VARAM katru gadu ir organizējusi VPVKAC darbinieku ikgadējās apmācības par VPVKAC tīkla darbības jautājumiem – lietotāju zvanu centra darbību un ar to saistītajiem jautājumiem, par atsevišķu e-pakalpojumu izpildi un specifiku, kas saistīta ar atsevišķiem e-pakalpojumiem, u.c. Šādas apmācības līdz šim tikušas organizētas, izmantojot valsts budžeta finansējumu, kas, ievērojot budžeta līdzekļu ierobežotās iespējas, ir rīkotas katru gadu par atsevišķām šaurām tēmām, nevis izstrādāta visaptveroša VPVKAC tīkla darbinieku mācību programma, tajā ietverot gan vispārīgus jautājumus un tēmas par tīkla darbību un tā darbības pamatprincipiem, gan arī detalizētas tēmas par konkrētiem e-pakalpojumiem un to izmantošanas specifiku vai tēmas, kas skar efektīvu komunikāciju ar klientu, efektīvu problēmsituāciju risināšanu darbā ar klientu un citas specifiskas mācību tēmas, tādējādi veicinot sistemātiskas pieejas veidošanu VPVKAC tīkla darbinieku apmācībā un kvalifikācijas celšanā. Būtisks šāda veida mācību organizēšanā ir ne tikai izstrādāt saturiski kvalitatīvas mācību programmas un organizēt regulāras apmācības, bet arī veikt regulāru un sistemātisku mācību dalībnieku zināšanu un prasmju novērtējumu, kas ļaus izdarīt secinājumus par mācību tēmu satura atbilstību VPVKAC tīkla ikdienas darbībai un nepieciešamības gadījumā veikt mācību programmās korekcijas, kā arī ļaus novērtēt mācību dalībnieku zināšanu un prasmju izmaiņu dinamiku pirms un pēc dalības mācībās, tādējādi sekmējot pēc iespējas augstākas kvalitātes pakalpojuma sniegšanu VPVKAC tīkla klientiem.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VPVKAC jau vairāku gadu garumā ir pierādījuši sevi kā būtisku posmu valsts pakalpojumu pieejamības uzlabošanā. VPVKAC sniedz reālu atbalstu gan iedzīvotājiem, īpaši lauku reģionos, kur valsts iestāžu filiāles var nebūt izvietotas, gan pašām valsts iestādēm, atvieglojot ikdienas darbu un uzlabojot klientu apkalpošanas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VPVKAC darbinieki konsultē, iedrošina un sniedz atbalstu ikvienam sabiedrības pārstāvim e-pakalpojumu un dažādu digitālo rīku (personas apliecība (eID karte), e-paraksts, e-adrese) lietošanā, lai ikviens, neatkarīgi no digitālajām prasmēm, spētu saņemt sev nepieciešamos pakalpojumus elektroniski. Iedzīvotājiem nav jāmēro ceļš uz attiecīgās iestādes filiāli, kas dažkārt nav nemaz tik tuvu, un aizņem daudz laika.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pasākuma mērķa grupa – VPVKAC darbinieki ir informēti par savām tiesībām piedalīties mācībās, ir paredzēts komunicēt caur VPVKAC vadītājiem, kuriem tiks izsūtīta informācija ar detalizētu skaidrojumu par projektu, tā mērķiem un ieguvumiem, ar uzaicinājumu to darbiniekiem pieteikties apmācībām.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piedāvājums tiks attiecināts tikai uz mērķa grupu, kas ir VPVKAC darbinieki, attiecīgi, ikviens mērķa grupas dalībnieks varēs pieteikties tiešsaistes mācībām. Piereģistrējoties apmācībām, VPVKAC darbiniekiem būs jānorāda kontaktinformācija, tai skaitā, darbavieta, tādējādi nodrošinot atbilstību mērķa grupai un ka tiek sasniegts šajos MK noteikumos noteiktais iznākuma rādītājs (400 nodarbinātas personas). Projekta ietvaros apmācāmo VPVKAC darbinieku mācību dalībnieku skaits varētu pārsniegt noteikumu projektā noteikto iznākuma rādītāju, pieaugot VPVKAC tīkla kontaktpunktu skaitam.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atbilstoši Digitālās transformācijas pamatnostādnēm 2021. – 2027. gadam tiks īstenotas komunikācijas aktivitātes par digitālajiem risinājumiem iedzīvotājiem, par efektīvu un uzticamu informācijas un komunikācijas tehnoloģiju (turpmāk - IKT) pārvaldību, par digitālās tautsaimniecības transformāciju, par datu pārvaldību un mākslīgo intelektu un par digitālajiem risinājumiem Eiropas līmenī. 4.2.4.3. pasākuma ietvaros plānots organizēt vismaz 10 pasākumus informācijas un komunikācijas tehnoloģiju iespēju izmantošanas veicināšanai (semināri, konferences vai citi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īstenot, piemēram, šādas komunikācijas aktivitātes: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dalība sarunu festivālā LAMPA, Latvijas atvērto tehnoloģiju asociācijas kultūras datu hakatonā, forumā "</w:t>
      </w:r>
      <w:r w:rsidR="00000000" w:rsidRPr="00000000" w:rsidDel="00000000">
        <w:rPr>
          <w:i w:val="1"/>
          <w:rtl w:val="0"/>
        </w:rPr>
        <w:t xml:space="preserve">5G Techritory</w:t>
      </w:r>
      <w:r w:rsidR="00000000" w:rsidRPr="00000000" w:rsidDel="00000000">
        <w:rPr>
          <w:rtl w:val="0"/>
        </w:rPr>
        <w:t xml:space="preserve">", Digitālajā nedēļā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klātienes un tiešsaistes pasākumi sadarbībā ar valsts un pašvaldību iestādēm, kā arī nevalstiskajām organizācijām (biedrībām un nodibinājumiem);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regulāras komunikācijas veikšana sociālajos tīklos, nodrošinot mērķtiecīgu satura izvietošanu, kas ir būtisks elements digitālo prasmju attīstībā.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būtiski nodrošināt informāciju par valsts radītajiem digitālajiem risinājumiem, jo attālināta pakalpojumu pieteikšana un saņemšana ne tikai potenciāli uzlabo sabiedrības dzīves kvalitāti, nodrošina vienlīdzīgas iespējas un mazina digitālo plaisu, bet arī samazina administratīvo un finansiālo slogu valsts pārvaldei, tai skaitā pašvaldībām. Piemēram, arvien vairāk iedzīvotāju Latvijā izvēlas saziņu ar valsts un pašvaldību iestādēm drošā elektroniskā veidā un e-adreses lietotāju skaits jau pārsniedz 200 000 fizisko personu, kas ļauj iestādēm būtiski ietaupīt finanšu resursus, samazinot papīra dokumentu plūsmu un ietaupot pakalpojumu sniedzošo iestāžu darbinieku laiku. Līdz ar to ir jāturpina īstenot mērķtiecīgas komunikācijas aktivitātes par valsts izveidotajiem un plānotajiem digitālajiem risinājumiem, lai nodrošinātu vēl aktīvāku šo risinājumu izmantošanu gan fiziskām, gan juridiskām personām, kas savukārt nodrošinātu gan papildu finanšu ietaupījumu valsts iestādēm, gan arī sociālekonomisko ieguvumu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Plānotie ieguldījumi nodarbināto personu izglītošanā sniegs ieguldījumu NAP noteiktā mērķa "Digitālo risinājumu izmantošanas veicināšana, paaugstinot iedzīvotāju digitālās prasmes" sasniegšanā - tiks nodrošināti par digitālajiem risinājumiem zinoši pašvaldību iestāžu darbinieki, kas savukārt veicinās sabiedrības digitālo prasmju un zināšanu attīstību un valsts izstrādāto digitālo risinājumu (e - pakalpojumi, IKT platformas u.c.) izmantošanu. VPVKAC punktos ir pieejami brīvpieejas datori un internets katrā pagasta teritorijā, vienlaikus kvalificēti darbinieki sniegs konsultācijas par digitālo iespēju izmantošanu (kā valsts, tā ikdienas vajadzībām nepieciešamo citu digitālo rīku). Atbilstoši valsts pakalpojumu stratēģijai, VPVKAC punkti kļūs par būtiskāko atbalsta punktu pakalpojumu saņemšanai reģionos (digitālā formā).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4.2.4.3. pasākuma ietvaros plānotie pasākumi veicinās Digitālās transformācijas pamatnostādnēs 2021.–2027. gadam noteiktā rīcības virziena “Sabiedrības digitālo prasmju attīstība no pamatprasmēm līdz augsta līmeņa prasmēm” mērķu sasniegšanu, sniedzot ieguldījumu pamatnostādnēs noteikto minētā rīcības virziena uzdevumu izpildē.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4.2.4.3. pasākumam plānota sinerģija ar šādām AF plāna investīcijām: AF plāna investīciju 2.3.2.1.i. "Digitālās prasmes iedzīvotājiem t.sk. jauniešiem" un AF plāna investīciju 2.3.2.2.i. "Valsts un pašvaldību digitālās transformācijas prasmju un spēju attīstība", AF plāna investīciju 3.1.1.2.i. "Pašvaldību kapacitātes stiprināšana to darbības efektivitātes un kvalitātes uzlabošanai", AF plāna investīciju 2.3.1.4.i. "Individuālo mācību kontu pieejas attīstība", AF plāna investīciju 3.1.2.5.i. "Prasmju pilnveide pieaugušajiem", kā arī ERASMUS+ projektu "Nacionālie koordinatori Eiropas programmas īstenošanai pieaugušo izglītībā".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šo pasākumu ietvaros plānotās darbības ir nepietiekamas, tai skaitā, ņemot vērā, ka to īstenošana ir plānota tikai līdz 2026.gada vidum, kā arī, ņemot vērā mūsdienu straujās digitālās pārmaiņas un aktuālās tendences, apmācību materiāli un apmācības ir nepārtraukti jāatjauno, lai nodrošinātu apmācību aktualitāti un tās atbilstu jaunākajām tendencēm un tehnoloģiskajām izmaiņām.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nodrošina komunikācijas un vizuālās identitātes prasību nodrošināšanas pasākumus, kas noteikti Eiropas Parlamenta un Padomes 2021. gada 24. jūnija Regulu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47. un 50. pantā un atbilstoši normatīvajiem aktiem par kārtību, kādā Eiropas Savienības fondu vadībā iesaistītās institūcijas nodrošina šo fondu ieviešanu 2021.–2027. gada plānošanas periodā, kā arī ievērojot Eiropas Savienības fondu 2021. – 2027. gada plānošanas perioda un Atveseļošanas fonda komunikācijas un dizaina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Pasākumam pieejamais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4.2.4.3. pasākumam plānotais finansējums ir 4 335 338 </w:t>
      </w:r>
      <w:r w:rsidR="00000000" w:rsidRPr="00000000" w:rsidDel="00000000">
        <w:rPr>
          <w:i w:val="1"/>
          <w:rtl w:val="0"/>
        </w:rPr>
        <w:t xml:space="preserve">euro</w:t>
      </w:r>
      <w:r w:rsidR="00000000" w:rsidRPr="00000000" w:rsidDel="00000000">
        <w:rPr>
          <w:rtl w:val="0"/>
        </w:rPr>
        <w:t xml:space="preserve">, tai skaitā Eiropas Sociālā fonda Plus fonda (turpmāk – ESF+) finansējums – 3 685 037 </w:t>
      </w:r>
      <w:r w:rsidR="00000000" w:rsidRPr="00000000" w:rsidDel="00000000">
        <w:rPr>
          <w:i w:val="1"/>
          <w:rtl w:val="0"/>
        </w:rPr>
        <w:t xml:space="preserve">euro </w:t>
      </w:r>
      <w:r w:rsidR="00000000" w:rsidRPr="00000000" w:rsidDel="00000000">
        <w:rPr>
          <w:rtl w:val="0"/>
        </w:rPr>
        <w:t xml:space="preserve">un nacionālais finansējums (valsts budžeta finansējums, pašvaldību budžeta finansējums) – 650 301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4.2.4.3. pasākuma ietvaros šobrīd pieejamais finansējums: 3 651 330</w:t>
      </w:r>
      <w:r w:rsidR="00000000" w:rsidRPr="00000000" w:rsidDel="00000000">
        <w:rPr>
          <w:i w:val="1"/>
          <w:rtl w:val="0"/>
        </w:rPr>
        <w:t xml:space="preserve"> euro</w:t>
      </w:r>
      <w:r w:rsidR="00000000" w:rsidRPr="00000000" w:rsidDel="00000000">
        <w:rPr>
          <w:rtl w:val="0"/>
        </w:rPr>
        <w:t xml:space="preserve">, tai skaitā ESF+ finansējums – 3 103 630 </w:t>
      </w:r>
      <w:r w:rsidR="00000000" w:rsidRPr="00000000" w:rsidDel="00000000">
        <w:rPr>
          <w:i w:val="1"/>
          <w:rtl w:val="0"/>
        </w:rPr>
        <w:t xml:space="preserve">euro</w:t>
      </w:r>
      <w:r w:rsidR="00000000" w:rsidRPr="00000000" w:rsidDel="00000000">
        <w:rPr>
          <w:rtl w:val="0"/>
        </w:rPr>
        <w:t xml:space="preserve"> apmērā un nacionālais finansējums (valsts budžeta finansējums, pašvaldību budžeta finansējums) – 547 700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elastības finansējums, kas būs pieejams pēc Eiropas Komisijas lēmuma par vidusposma pārskatu) – 684 008 </w:t>
      </w:r>
      <w:r w:rsidR="00000000" w:rsidRPr="00000000" w:rsidDel="00000000">
        <w:rPr>
          <w:i w:val="1"/>
          <w:rtl w:val="0"/>
        </w:rPr>
        <w:t xml:space="preserve">euro</w:t>
      </w:r>
      <w:r w:rsidR="00000000" w:rsidRPr="00000000" w:rsidDel="00000000">
        <w:rPr>
          <w:rtl w:val="0"/>
        </w:rPr>
        <w:t xml:space="preserve">, tai skaitā ESF+ finansējums – 581 407 </w:t>
      </w:r>
      <w:r w:rsidR="00000000" w:rsidRPr="00000000" w:rsidDel="00000000">
        <w:rPr>
          <w:i w:val="1"/>
          <w:rtl w:val="0"/>
        </w:rPr>
        <w:t xml:space="preserve">euro</w:t>
      </w:r>
      <w:r w:rsidR="00000000" w:rsidRPr="00000000" w:rsidDel="00000000">
        <w:rPr>
          <w:rtl w:val="0"/>
        </w:rPr>
        <w:t xml:space="preserve"> un nacionālais finansējums (valsts budžeta finansējums, pašvaldību budžeta finansējums) – 102 601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Prasības projekta iesniedzējam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ka projekta iesniedzējs, kas pēc projekta iesnieguma apstiprināšanas un civiltiesiskā līguma vai vienošanās par projekta īstenošanu noslēgšanas ir finansējuma saņēmējs, 4.2.4.3. pasākuma ietvaros ir Viedās administrācijas un reģionālās attīstības ministrija (turpmāk - 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tiek noteiktas prasības projekta iesniedzējam un sadarbības partnerim, ievērojot, ka noteikumu projekts paredz iespēju par sadarbības partneri piesaistīt tiešās vai pastarpinātās pārvaldes iestādes, atvasinātas publiskas personas un citas valsts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projekta iesniegums tiek sagatavots atbilstoši projektu iesniegumu atlases nolikumā noteiktajām prasībām un iesniegts sadarbības iestādē, izmantojot Kohēzijas politikas fondu vadības informācijas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Sasniedzamie iznākuma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programmā 2021.-2027. gadam noteiktais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kopējais iznākuma rādītājs ir "nodarbinātas personas, tostarp pašnodarbinātas personas", attiecīgi 4.2.4.3. pasākuma ietvaros sasniedzamais iznākuma rādītājs ir "400 nodarbinātas personas (personu skaits)", ņemot vērā, ka 4.2.4.3.pasākuma ietvaros nav plānots apmācīt pašnodarbinātas personas. Atbilstoši 4.2.4.3. pasākuma mērķim un plānotajām darbībām ar rādītāju tiek saprasti VPVKAC darbinieki. Projekta ietvaros apmācāmo VPVKAC darbinieku mācību dalībnieku skaits varētu pārsniegt noteikumu projektā noteikto iznākuma rādītāju, pieaugot VPVKAC tīkla kontaktpunktu skaitam.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Atbalstāmās darbības un 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4.2.4.3. pasākuma ietvaros plānotās atbalstāmās darbības atbilst Eiropas Savienības kohēzijas politikas programmas 2021.–2027. gadam 4.2. prioritātes "Digitālo prasmju pilnveide" noteiktajam intervences kodam – 145.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atbalstāmās darbības un attiecināmās izmaksas. Projekta ietvaros attiecināmās izmaksas ir pakārtotas atbalstāmajām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Tematiski atbalstu paredzēts koncentrēt uz mācību un komunikācijas aktivitāšu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noteiktas tiešās attiecināmās izmaksas un netiešās attiecināmās izmaksas. Netiešās attiecināmās izmaksas nav tieši saistītas ar projekta rezultātu sasniegšanu, bet atbalsta un nodrošina atbilstošus apstākļus projekta veicamo darbību realizācijai un projekta rezultātu sasniegšanai, piemērojot netiešo izmaksu vienoto likmi 15% apmērā no projekta tiešajām personāla izmaksām. Tās ir finansējuma saņēmēja projekta personāla administratīvās izmaksas, kas paredzētas iestādes ikdienas darbības nodrošināšanai, piemēram, telpu un iekārtu izmantošanas izmaksas, komunālie un sakaru maksājumi, iestādes vadības un atbalsta struktūrvienību izmaksas. Netiešajās attiecināmajās izmaksās ietilpst: kancelejas preces, biroja piederumi un biroja aprīkojuma īre vai iegāde, telpu noma, komunālie maksājumi un telpu uzturēšanas izmaksas; telekomunikācijas, interneta izmaksas un pasta pakalpojumu izmaksas; informācijas tehnoloģiju uzturēšanas izmaksas (piemēram, nepieciešamās licences un programmatūras atjauninājumi).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ietvaros ir atbalstāmas projekta vadības un īstenošanas personāla iekšzemes komandējumu un darba braucienu izmaksas un ārvalstu komandējumu izmaksas finansējuma saņēmēja projekta vadītājam un īstenošanas personālam gan Eiropas Savienības dalībvalstīs, gan ārpus Eiropas Savienības dalībvalstīm atbilstoši normatīvajiem aktiem par kārtību, kādā atlīdzināmi ar komandējumu saistītie izdevumi, ja tās ir pamatotas un saistītas 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ietvaros ir attecināmas jaunradītu projekta vadības un īstenošanas personāla darba vietu aprīkojuma, biroja mēbeļu, tehnikas, datorprogrammu un licenču iegādes vai īres izmaksas ne vairāk kā 3 000 </w:t>
      </w:r>
      <w:r w:rsidR="00000000" w:rsidRPr="00000000" w:rsidDel="00000000">
        <w:rPr>
          <w:i w:val="1"/>
          <w:rtl w:val="0"/>
        </w:rPr>
        <w:t xml:space="preserve">euro</w:t>
      </w:r>
      <w:r w:rsidR="00000000" w:rsidRPr="00000000" w:rsidDel="00000000">
        <w:rPr>
          <w:rtl w:val="0"/>
        </w:rPr>
        <w:t xml:space="preserve"> vienai darba vietai visā projekta īstenošanas laikā, vienlaikus vērtējot aprīkojuma iegādes samērīgumu attiecībā uz darbiniekiem, kuriem tiek piemērots daļlaika noslodzes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ka attiecināmas ir arī citas ar mācību, semināru, konferenču, integrēto komunikāciju kampaņu, pieredzes apmaiņas un citu prasmju paaugstināšanas un informācijas un komunikācijas tehnoloģiju iespēju izmantošanas veicināšanas pasākumu organizēšanu un īstenošanu saistītās izmaksas, piemēram, pasākumu organizēšanas uzņēmumu piesaistes izmaksas tehnisko pakalpojumu nodrošinājumam, ja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4.2.4.3. pasākuma ietvaros ir atbalstāmas darbības, kas nodrošina vienlīdzību, iekļaušanu un nediskrimināciju. Paredzēts, ka projektu izstrādes laikā, īstenošanā un vadībā tiks nodrošināta informācijas un vides piekļūstamības, nediskriminācijas pēc vecuma, dzimuma, etniskās piederības un citām pazīmēm un vienlīdzīgu iespēju principu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Vienkāršotās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mazināšanai projekta vadības personāla izmaksu nodrošināšanai tiek piemērota personāla izmaksu vienotā likme 20% apmērā no noteikumu projekta 20. punktā minētajām pārējām tiešajām attiecināmajām izmaksām, kas nav noteikumu projekta 20.1. apakšpunktā minētās tiešās attiecināmās projekta vadības personāla izmaksas, saskaņā ar regulas 2021/1060 55. panta 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vadības personāla izmaksu vienotās likmes aprēķins balstīts uz šādiem pamatprincipiem, kas nosaka, ka tas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taisnīgs – personāla izmaksu vienotās likmes apmērs tiks piemērots vienoti 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objektīvs – personāla izmaksu vienotās likmes apmērs ir aprēķināts, nepārsniedzot mēnešalgu grupu viduspunktus valsts un pašvaldību institūcijās nodarbinātajiem ierēdņiem un darbiniekiem un attiecīgi VARAM veiktajiem aprēķiniem, ņemot vērā indikatīvi prognozējamās projektu tiešās 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pārbaudāms – personāla izmaksu vienotās likmes aprēķins ir pamatots ar VARAM veiktajiem aprēķiniem;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iepriekš noteikts – personāla izmaksu vienotā likme un piemērošanas nosacījumi ir noteikti šajos MK noteikumos, un piemērojami atbilstoši šajos MK noteikumos noteiktajām prasībām (tikai pēc šo MK noteikumu spēkā stāšanās brīža).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projektā noteiktos izmaksu attiecināmības nosacījumus, projekta vadības un īstenošanas personāla izmaksām indikatīvi pieejamais ESF+ finansējums ir 704 933 </w:t>
      </w:r>
      <w:r w:rsidR="00000000" w:rsidRPr="00000000" w:rsidDel="00000000">
        <w:rPr>
          <w:i w:val="1"/>
          <w:rtl w:val="0"/>
        </w:rPr>
        <w:t xml:space="preserve">euro</w:t>
      </w:r>
      <w:r w:rsidR="00000000" w:rsidRPr="00000000" w:rsidDel="00000000">
        <w:rPr>
          <w:rtl w:val="0"/>
        </w:rPr>
        <w:t xml:space="preserve">. Kvalitatīvai projekta ieviešanai projekta vadības un īstenošanas nodrošināšanai indikatīvi ir nepieciešamas vismaz 5 slodzes – projekta vadītāja (39.1. amatu saime, IV A līmenis, 11. mēnešalgu grupa), projekta koordinatoru (39.1. saimes III līmenis, 10. mēnešalgu grupa), VARAM Juridiskā departamenta jurista (24. saimes II līmenis, 10. grupa) un finansista (15.1. amatu saime, III līmenis, 10. mēnešalgu grupa) iesaiste, algu likmes nosakot saskaņā ar Valsts un pašvaldību institūciju amatpersonu un darbinieku atlīdzības likumu, nepārsniedzot tajā noteikto mēnešalgu grupu skalas viduspunktu. Ievērojot iepriekš minēto, projektam pieejamā finansējuma ietvaros 5 slodžu nodrošināšanai tā īstenošanas laikā būtu iespējams piesaistīt finansējumu projekta vadības un īstenošanas personālam 4,4 gadus, kas ir projektā paredzēto aktivitāšu īstenošanas intensīvais periods.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20.1. apakšpunktā norādīto personāla izmaksu ietvaros tiks nodrošinātas projekta administratīvās, organizatoriskās un koordinējošās funkcijas (vecākais projekta vadītājs, projekta koordinators, VARAM Juridiskā departamenta jurists, finansists), savukārt noteikumu projekta 20.6.1. un 20.7. apakšpunktā minētie speciālisti nodrošinās projekta saturisko īstenošanu kā pakalpojumu sniedzēji, kas tiks piesaistīti, ievērojot noteikumu projekta 28. punktā noteikto kārtību, kas paredz, ka finansējuma saņēmējs un sadarbības partneris projekta īstenošanai nepieciešamo preču un pakalpojumu iegādi veic saskaņā ar normatīvajiem aktiem publisko iepirkumu jomā, un minēto speciālistu pienākumi nepārklājas, nodrošinot izmaksu un finansējuma nodalāmību.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Izmaksas ir attiecināmas no brīža, kad tiek noslēgta vienošanās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Pievienotās vērtības nodoklis, kas tiešā veidā saistīts ar projektu, uzskatāms par attiecināmām izmaksām saskaņā ar regulas 2021/1060 64. panta 1. punkta "c" apakšpunktā ietvertajiem nosacījumiem. Lai novērstu dubultā finansējuma risku, finansējuma saņēmējs nodrošina finanšu plūsmas (arī pievienotās vērtības nodokļa izmaksu uzskaiti) uzskatāmu nodalīšanu no citām finansējuma saņēmēja darbības finanšu plūsmām projekta īstenošanas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Projekta īstenošanas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projektu īsteno saskaņā ar noslēgto vienošanos par projekta īstenošanu, bet ne ilgāk kā līdz 2029.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noteikti arī citi projekta īstenošanas, tostarp komunikācijas un vizuālās identitātes pasākumu nodrošināšanas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nodrošina, ka tiek nodalītas funkcijas, ko tā pilda kā ES fondu 2021.-2027. gada plānošanas perioda atbildīgā iestāde un kā finansējuma saņēmējs 4.2.4.3. pasākuma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Citi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kā finansējuma saņēmējs nodrošinās dubultā finansējuma novēršanas risku, lai 4.2.4.3. pasākuma ietvaros plānotais atbalsts, t.sk. atbalstāmo darbību saturs, nepārklātos ar citiem valsts un ārvalstu finanšu atbalsta instrumentiem. 4.2.4.3. pasākums tiks īstenots sinerģijā ar AF investīcijām 2.3.2.1.i. "Digitālās prasmes iedzīvotājiem t.sk. jauniešiem", 2.3.2.2.i. "Valsts un pašvaldību digitālās transformācijas prasmju un spēju attīstība", 3.1.1.2.i. "Pašvaldību kapacitātes stiprināšana to darbības efektivitātes un kvalitātes uzlabošanai", 2.3.1.4.i "Individuālo mācību kontu pieejas attīstība", 3.1.2.5.i. "Prasmju pilnveide pieaugušajiem",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4.3.3.1. pasākumu “Bezdarbnieku, darba meklētāju un bezdarba riskam pakļauto personu kvalifikācijas un prasmju paaugstināšana” un ERASMUS+ projektu "Nacionālie koordinatori Eiropas programmas īstenošanai pieaugušo izglītībā", nodrošinot demarkāciju investīciju /projektu līmenī un ievērojot pasākumu atšķirīgo satura fokusu, regulāri apmainoties ar informāciju starp investīciju un projektu īstenošanā iesaistītajiem darbiniekiem par mācību pasākumu saturu, norises laika grafiku un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nodrošinās savstarpēju papildinātību ar 1.3.1. SAM "Izmantot digitalizācijas priekšrocības iedzīvotājiem, uzņēmumiem, pētniecības organizācijām un publiskajām iestādēm" aktivitātēm to mērķu sekmīgai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4.2.4.3. pasākuma ietvaros komercdarbības atbalsts nav paredzēts. Plānotais finansējuma saņēmējs ir VARAM, kas ir tiešās valsts pārvaldes iestāde un kas 4.2.4.3. pasākuma ietvaros neveiks saimniecisko darbību, savukārt par sadarbības partneriem (ja attiecināms) var tikt piesaistītas tiešās vai pastarpinātās pārvaldes iestādes, atvasinātas publiskas personas un citas valsts iestādes, kas pasākuma ietvaros arī neveiks saimniecisko darbību, līdz ar to 4.2.4.3. pasākums Komercdarbības atbalsta kontroles likuma 5. panta kontekstā nav jāvērtē.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regulas Nr. 2021/1060 40. panta 2. punkta "a" apakšpunktam projekta iesnieguma vērtēšanas kritēriji tiks apstiprināti Eiropas Savienības fondu uzraudzības komitejā, vienlaikus sagatavojot arī kritēriju piemērošanas metodiku.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projekta nosacījumus attiecībā uz interešu konflikta neesību, finansējuma saņēmējs izveido iekšējās kontroles sistēmu korupcijas un interešu konflikta riska novēršanai publiskas personas institūcijā atbilstoši normatīvajam regulējumam par iekšējās kontroles sistēmas pamatprasībām korupcijas un interešu konflikta riska novēršanai publiskas personas institūcijā.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Plānojot 4.2.4.3. pasākuma īstenošanu, ir veikta 4.2.4.3. pasākuma lietderīguma novērtēšana, t.sk. novērtējot, vai attiecīgos politikas rezultātus (NAP2027 noteiktie mērķi) ir iespējams sasniegt, neveicot ESF+ investīcijas.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neparedz nepieciešamību finansējuma saņēmējam veikt izvērtējumu par izmaksu un ieguvumu analīzi projektam, ņemot vērā, ka izmaksu un ieguvumu analīzes mērķis ir noskaidrot izmaksu ieguvumu efektivitāti, salīdzinot izmaksas ar iegūto rezultātu. Savukārt noteikumu projekta ietvaros īstenotā projekta joma ir digitālo prasmju pilnveide (izglītība), kur plānotais iznākums ir apmācāmo digitālo prasmju pilnveide digitālo iespēju un platformu izmantošanā, un mācību procesa plānošanas, organizēšanas, īstenošanas uzlabošanai nav objektīvi nosakāma vērtība naudas izteiksmē, kas būtu izmantojama izmaksu un ieguvumu analīzes veikšanā, līdz ar to noteikumu projektā nav ietverta norma, kas paredz finansējuma saņēmējam veikt izmaksu un ieguvumu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4.2.4.3. pasākuma projektā nav arī paredzēta ieņēmumu gūšana, līdz ar to arī starptautiskajā praksē, izpildoties šīm divām pazīmēm, netiek rekomendēta izmaksu un ieguvumu analīzes metodes izmantošana šādiem izglītības jomas projektiem, kā arī Eiropas Komisijas ekonomiskā novērtējuma vadlīnijās "Economic Appraisal Vademecum 2021-2027" (pieejamas: </w:t>
      </w:r>
      <w:r w:rsidR="00000000" w:rsidRPr="00000000" w:rsidDel="00000000">
        <w:rPr>
          <w:i w:val="1"/>
          <w:rtl w:val="0"/>
        </w:rPr>
        <w:t xml:space="preserve">https://ec.europa.eu/regional_policy/en/information/publications/guides/2021/economic-appraisal-vademecum-2021-2027-general-principles-and-sector-applications</w:t>
      </w:r>
      <w:r w:rsidR="00000000" w:rsidRPr="00000000" w:rsidDel="00000000">
        <w:rPr>
          <w:rtl w:val="0"/>
        </w:rPr>
        <w:t xml:space="preserve">), kurās sniegti metodoloģiskie norādījumi par dažādu ekonomisko novērtēšanas metožu piemērošanu projektos, balstoties uz 2014. – 2020. gada plānošanas perioda projektu īstenošanas pieredzi dalībvalstīs, nav iekļauta izglītības joma, vienlaikus norādot šāda veida projektu izmaksu ieguvumu analīzes veikšanas sarežģītību, ņemot vērā grūtības, kas saistītas ar ieguvumu monetāro vērtību novērtēšanu izglītības ieguldījumos.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4.2.4.3. pasākuma ietvaros plānoto investīcija lietderība ir izvērtēta, to sasaistot ar izaicinājumiem, kas jārisina, lai sasniegtu Digitālās desmitgades programmā noteiktos mērķus, kas paredz nodrošināt, ka līdz 2030.gadam simtprocentīgi visi galvenie publiskie pakalpojumi iedzīvotājiem un uzņēmējiem ir pieejami tiešsaistē, kā arī sasaistot ar Eiropas Komisijas noteikto mērķi panākt, ka vismaz pamata digitālās prasmes ir 80% Eiropas Savienības iedzīvotāju, ņemot vērā, ka atbilstoši Digitālās dekādes 2024. gada ziņojumā par Latviju norādītajam, Latvijas rādītājs vismaz digitālo pamatprasmju ziņā 2023. gadā ir vēl samazinājies, salīdzinot ar 2024. gadu (45,3%, ES vidējais rādītājs – 55,6%).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to, ka daudzi publiskās pārvaldes pakalpojumi jau ir pieejami digitālajā vidē, iedzīvotāji un komersanti joprojām vēlas izmantot klientu apkalpošanas kanālus klātienē, kas galvenokārt ir saistīts ar nepietiekamām digitālajām prasmēm, kā arī nepietiekamu informētību par pieejamajiem pakalpojumiem. Līdz ar to simtprocentīga galveno publisko pakalpojumu pieejamība digitālā formā iedzīvotājiem un uzņēmējiem ir kvalitatīvi jauns solis, vienlaikus ir nepieciešams veikt nepieciešamos pasākumus šo pakalpojumu izmantošanas veicināšanai, lai nodrošinātu digitālajos risinājumos ieguldīto investīciju atdevi, kā arī paātrinātu sabiedrības digitālās transformācijas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digitālo prasmju pilnveide un līdz ar to digitālo rīku lietošana kopumā var būtiski ietekmēt darba produktivitāti, kā arī digitalizācija piedāvā ievērojamu potenciālu produktivitātes paaugstināšanai un labklājības uzlabošanai. Uzlabojot iedzīvotāju prasmes, valsts var nodrošināt, ka jaunās tehnoloģijas sniedz labākus rezultātus visai sabiedrībai. Tas prasa visaptverošu un koordinētu politikas iejaukšanos, kuras pamats ir ar prasmēm saistīta politika. Tāpat digitālo prasmju uzlabošana palīdz samazināt digitālo plaisu starp dažādām sabiedrības grupām, piemēram, vecāka gadagājuma cilvēkiem, mazākumtautībām un cilvēkiem ar zemākiem ienākumiem. Digitālās prasmes ļauj cilvēkiem vieglāk piekļūt valsts pakalpojumiem, veselības aprūpei un citām būtiskām dzīves sfērām.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4.2.4.3. pasākuma ietvaros izmaksu un ieguvumu analīze netiek veikta, 4.2.4.3. pasākuma īstenošana veicinās valsts radīto digitālo risinājumu izmantošanu un tādējādi arī veicinās minēto risinājumu plānoto ieguvumu sasniegšanu, t.sk., piemēram, AF plāna reformu un investīciju virziena "Valsts pārvaldes, tai skaitā pašvaldību, digitālā transformācija" projektu ietvaros ir aprēķināti šādi ieguvumi: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reģionālās attīstības aģentūras (turpmāk – VRAA) projekta "Nacionālā digitālo pakalpojumu koplietošanas centrālā platforma klientcentrētiem un proaktīviem e-pakalpojumiem sabiedrībai (Latvija.lv)" pilnīgas ieviešanas rezultātā plānots, ka projekta pārskata periodā sociālekonomiskie ieguvumi sasniegs aptuveni 18,83 milj. </w:t>
      </w:r>
      <w:r w:rsidR="00000000" w:rsidRPr="00000000" w:rsidDel="00000000">
        <w:rPr>
          <w:i w:val="1"/>
          <w:rtl w:val="0"/>
        </w:rPr>
        <w:t xml:space="preserve">euro</w:t>
      </w:r>
      <w:r w:rsidR="00000000" w:rsidRPr="00000000" w:rsidDel="00000000">
        <w:rPr>
          <w:rtl w:val="0"/>
        </w:rPr>
        <w:t xml:space="preserve"> (diskontētie ieguvumi), ko veido klientu apkalpošanai patērēto iestāžu resursu samazinājums, pieaugot elektroniski saņemto pakalpojumu īpatsvaram, uzlabojot portālu Latvija.lv un e-pakalpojumu sniegšanas vidi, Sabiedrības laika un citu resursu patēriņa samazinājums, pieaugot saņemto elektronizēto pakalpojumu īpatsvaram, uzlabojot portālā Latvija.lv un e-pakalpojumu sniegšanas vidi, iestāžu patērēto resursu ietaupījums, publiskojot valsts reģistru datus personas datu pārlūkošanas pakalpojumā un neizstrādājot atsevišķu e-pakalpojumu šo datu publiskošanai, kā arī e-pakalpojumu pārziņu un VRAA e-pakalpojumu izstrādei, publicēšanai un uzturēšanai patērēto resursu samazinājums, ieviešot e-pakalpojumu izstrādes un publicēšanas pašapkalpošanās vidi, kas ļaus e-pakalpojumu pārziņiem ātrāk un vienkāršāk izstrādāt, publiskot un uzturēt jaunus un jau esošus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VRAA projekts "Vienotā saziņas platforma, dokumentu krātuve un dokumentu pārvaldības platformu integrācija" ir vērsts uz e-adreses attīstīšanu. To īstenojot, radīsies būtiski sociālekonomiskie ieguvumi gan valsts iestādēm, gan plašākai sabiedrībai. Sociālekonomiskie ieguvumi aprēķināti, izmantojot eksperta metodi, iepriekšējo VRAA pieredzi līdzīgos projektos un pieņēmumus par iespējamajiem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E-adreses pilnveidošana ļaus iestādēm ietaupīt finanšu resursus, samazinot papīra dokumentu plūsmu un ietaupot pakalpojumu sniedzošo iestāžu darbinieku laiku – pusstundu uz vienu pakalpojumu. Pieņemot, ka gadā katrs no esošajiem e-adreses lietotājiem (līdz 61 000 lietotāju) saņems vismaz par 2 sūtījumiem vairāk nekā pašreiz (5 132 376 sūtījumu), iestāžu ietaupījumi projekta pārskata periodā sasniegs vismaz 5,89 milj. </w:t>
      </w:r>
      <w:r w:rsidR="00000000" w:rsidRPr="00000000" w:rsidDel="00000000">
        <w:rPr>
          <w:i w:val="1"/>
          <w:rtl w:val="0"/>
        </w:rPr>
        <w:t xml:space="preserve">euro</w:t>
      </w:r>
      <w:r w:rsidR="00000000" w:rsidRPr="00000000" w:rsidDel="00000000">
        <w:rPr>
          <w:rtl w:val="0"/>
        </w:rPr>
        <w:t xml:space="preserve"> (diskontētā vērtība). E-adresē nosūtīto pakalpojumu rezultātu saņemšana elektroniski sabiedrībai sniegs ieguvumu, ietaupot laika un finanšu resursus, kuri tērēti ceļā uz pakalpojumu saņemšanas iestādi un no tās, kā arī pakalpojumu rezultātu saņemšanas laikā. Paredzēts, ka projekta pārskata perioda ietvaros sabiedrības ieguvums sasniegs vismaz 4,51 milj. </w:t>
      </w:r>
      <w:r w:rsidR="00000000" w:rsidRPr="00000000" w:rsidDel="00000000">
        <w:rPr>
          <w:i w:val="1"/>
          <w:rtl w:val="0"/>
        </w:rPr>
        <w:t xml:space="preserve">euro </w:t>
      </w:r>
      <w:r w:rsidR="00000000" w:rsidRPr="00000000" w:rsidDel="00000000">
        <w:rPr>
          <w:rtl w:val="0"/>
        </w:rPr>
        <w:t xml:space="preserve">(diskontētā vērtība);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VARAM projekta "Pakalpojumu sniegšanas reformas atbalsts", kura ietvaros plānota VPVKAC sistēmas attīstība, plānoti sociālekonomiskie ieguvumi noteikti 60,9 milj. </w:t>
      </w:r>
      <w:r w:rsidR="00000000" w:rsidRPr="00000000" w:rsidDel="00000000">
        <w:rPr>
          <w:i w:val="1"/>
          <w:rtl w:val="0"/>
        </w:rPr>
        <w:t xml:space="preserve">euro </w:t>
      </w:r>
      <w:r w:rsidR="00000000" w:rsidRPr="00000000" w:rsidDel="00000000">
        <w:rPr>
          <w:rtl w:val="0"/>
        </w:rPr>
        <w:t xml:space="preserve">apmērā, ko veido pakalpojumu turētāju resursu ietaupījums, nododot klātienes apkalpošanu koplietošanas VPVKAC tīklam, t.sk. ņemot vērā valdības sektorā strādājošā vidējās darbinieka stundas izmaksas, klātienē pieņemto pakalpojumu pieteikumu skaitu, laika patēriņu klienta apkalpošanai klātienē, ietaupījumu attiecībā uz laiku viena pakalpojuma pieņemšanai klātienē, kā arī sabiedrības resursu ietaupījumu, pakalpojumu klātienē piesakot vai saņemot atbalstu tā pieteikšanai pagasta / pilsētas VPVKAC (t.i. saņemot apmācīta valsts vai pašvaldību darbinieka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4.2.4.3. pasākuma ietvaros ir plānots apmācīt VPVKAC darbiniekus, iepriekš minētie ieguvumi, kas noteikti projektam, kura ietvaros tiek attīstīts VPVKAC tehniskais nodrošinājums, ir attiecināmi arī uz 4.2.4.3. pasākumu, ņemot vērā, ka apmācīti VPVKAC darbinieki ir būtisks priekšnosacījums, lai tehniskais nodrošinājums dotu atdevi;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Kultūras informācijas sistēmu centra projekta "IKT vienota pārvaldība un digitālie risinājumi kultūras nozares institūcijām" ieguvums rodas no sabiedrības finanšu līdzekļu ietaupījuma un patērētā laika samazinājuma. Meklējot digitālo saturu internetā un izmantojot tiešsaistes pakalpojumus, t. i., neapmeklējot kultūras mantojuma institūcijas klātienē, tiek būtiski samazināts administratīvais slogs, samazinoties klientu laika un finanšu līdzekļu patēriņam. Kultūras un atmiņas iestāžu klienti gadā ietaupīs vidēji 0,250 milj. </w:t>
      </w:r>
      <w:r w:rsidR="00000000" w:rsidRPr="00000000" w:rsidDel="00000000">
        <w:rPr>
          <w:i w:val="1"/>
          <w:rtl w:val="0"/>
        </w:rPr>
        <w:t xml:space="preserve">euro</w:t>
      </w:r>
      <w:r w:rsidR="00000000" w:rsidRPr="00000000" w:rsidDel="00000000">
        <w:rPr>
          <w:rtl w:val="0"/>
        </w:rPr>
        <w:t xml:space="preserve">, neapmeklējot bibliotēku, arhīvu u. c. iestādes klātienē, bet meklējot un apskatot materiālus internetā. Izmaksu ietaupījums plānots arī saistībā ar Latvijas Nacionālā arhīva pakalpojumu sniegšanas procesu paātrināšanu (pakalpojumu pieprasījumu apstrādes ātrums, sarakstes apjoma samazināšanās, izziņu un rēķinu drukas apjoma samazināšanās, pasta pakalpojumi) – kopumā 10 gadu periodā būs ietaupījums 0,471 milj.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uzskaitīti tikai daži no attīstāmajiem valsts digitālajiem risinājumiem un to plānotajiem ieguvumiem, kuru sasniegšanas nodrošināšanā ir nepieciešama arī 4.2.4.3. pasākuma ietvaros plānoto darbību mērķtiecīga īstenošana, lai nodrošinātu šo risinājumu efektīvu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4.2.4.3. pasākuma ietvaros apmācītie iedzīvotāji un VPVKAC darbinieki kļūs produktīvāki, efektīvāk paši izmantos digitālos rīkus, kā arī VPVKAC darbinieki sniegs pilnvērtīgāku atbalstu sabiedrībai, kā arī labāk informēti darbinieki veicinās iedzīvotāju apmierinātību ar publiskajiem pakalpojumiem un palielinās sabiedrības iesaisti digitālo risinājumu izmantošanā, tādējādi tas palīdzēs samazināt izmaksas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2024. gada 28. augustā tika iesniegts Valsts kancelejā apstiprināšanai MK, bet tā izskatīšana tika atlikta, lai vērtētu iespēju paplašināt 4.2.4.3. pasākuma mērķa grupu, paredzot apmācīt ne tikai nodarbinātās personas, kas ir VPVKAC darbinieki, bet arī iedzīvotājus bez digitālajām prasmēm vai ar zemu digitālo prasmju līmeni, lai tiem būtu nodrošinātas digitālās pašapkalpošanās prasmes, tādējādi veicinot digitālo prasmju pieejamību plašākai sabiedrībai un paaugstinot sabiedrības digitālo pamatprasmju līmeni. Rezultātā, VARAM ir ierosinājusi attiecīgus grozījumus Eiropas Savienības kohēzijas politikas programmā 2021.-2027. gadam un precizējusi MK noteikumu projektu, kas tiek virzīts atkārtotai saskaņošanai.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kopumā.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paredzēto darbību rezultātā plānots palielināt iedzīvotāju īpatsvaru, kuriem ir padziļinātas digitālās pašapkalpošanās prasmes un spēja izmantot primāros publiskos un privātos pakalpojumus digitālā veidā, plānots atbalsts digitālo prasmju pilnveidē VPVKAC darbiniekiem , kā arī plānots īstenot komunikāciju aktivitātes par digitālajiem risinājumiem iedzīvotājiem, tādejādi paaugstinot informācijas un komunikācijas tehnoloģiju iespēju izmantošanu un mazinot digitālo plaisu sabiedrībā.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pašvaldības, biedrības, nodibinājumi.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pildīs atbildīgās iestādes un finansējuma saņēmēja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īstenos VARAM, kā arī projekta ietvaros kā sadarbības partneri var tikt piesaistītas citas tiešās vai pastarpinātās pārvaldes iestādes, atvasinātas publiskas personas un citas valsts iestādes. Īstenojot projektu, ir jāņem vērā noteikumu projektā noteiktais pieejamais ESF+ finansējums un projektā sasniedzamās rādītāju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Nevalstisko organizāciju (biedrību un nodibinājumu) iesaiste 4.2.4.3. pasākuma īstenošanā var tikt nodrošināta saskaņā ar normatīvajiem aktiem publisko iepirkumu jomā, kur kā potenciālie pakalpojumu sniedzēji varētu būt nevalstiskās organizācijas (piemēram, ar mācību, semināru, konferenču, integrēto komunikācijas kampaņu, pieredzes apmaiņas un citu prasmju paaugstināšanas un informācijas un komunikācijas tehnoloģiju iespēju izmantošanas veicināšanas pasākumu organizēšanā un īstenošanā, piesaistot ekspertu pakalpojumus, veicot konsultācijas ar ekspertiem projekta ietvaros atbalstāmo darbību plānošanai un īstenošanai).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Veicinot valsts digitālo risinājumu izmantošanu, tiek  uzlabotas sabiedrības digitālās prasmes un izpratne par digitālajiem risinājumiem kopumā, tādejādi veicinot arī komersantu digitālo risinājumu izmantošanu.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368 504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700 157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1 289 763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368 504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700 157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1 289 763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433 534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823 714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1 517 368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433 534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748 714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1 437 368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-65 030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-123 557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-227 605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-65 030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-48 557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-147 605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-65 030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-123 557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-227 605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-65 030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-48 557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-147 605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4.2.4.3. pasākumam plānotais kopējais attiecināmais finansējums ir 4 335 338 </w:t>
            </w:r>
            <w:r w:rsidR="00000000" w:rsidRPr="00000000" w:rsidDel="00000000">
              <w:rPr>
                <w:sz w:val="24"/>
                <w:i w:val="1"/>
                <w:rtl w:val="0"/>
              </w:rPr>
              <w:t xml:space="preserve">euro</w:t>
            </w:r>
            <w:r w:rsidR="00000000" w:rsidRPr="00000000" w:rsidDel="00000000">
              <w:rPr>
                <w:sz w:val="24"/>
                <w:rtl w:val="0"/>
              </w:rPr>
              <w:t xml:space="preserve">, tai skaitā ESF+ finansējums 3 685 037 </w:t>
            </w:r>
            <w:r w:rsidR="00000000" w:rsidRPr="00000000" w:rsidDel="00000000">
              <w:rPr>
                <w:sz w:val="24"/>
                <w:i w:val="1"/>
                <w:rtl w:val="0"/>
              </w:rPr>
              <w:t xml:space="preserve">euro</w:t>
            </w:r>
            <w:r w:rsidR="00000000" w:rsidRPr="00000000" w:rsidDel="00000000">
              <w:rPr>
                <w:sz w:val="24"/>
                <w:rtl w:val="0"/>
              </w:rPr>
              <w:t xml:space="preserve"> un valsts budžeta finansējums un pašvaldību budžeta finansējums 650 301 </w:t>
            </w:r>
            <w:r w:rsidR="00000000" w:rsidRPr="00000000" w:rsidDel="00000000">
              <w:rPr>
                <w:sz w:val="24"/>
                <w:i w:val="1"/>
                <w:rtl w:val="0"/>
              </w:rPr>
              <w:t xml:space="preserve">euro </w:t>
            </w:r>
            <w:r w:rsidR="00000000" w:rsidRPr="00000000" w:rsidDel="00000000">
              <w:rPr>
                <w:sz w:val="24"/>
                <w:rtl w:val="0"/>
              </w:rPr>
              <w:t xml:space="preserve">(no tā pašvaldību budžeta finansējums indikatīvi 230 000</w:t>
            </w:r>
            <w:r w:rsidR="00000000" w:rsidRPr="00000000" w:rsidDel="00000000">
              <w:rPr>
                <w:sz w:val="24"/>
                <w:i w:val="1"/>
                <w:rtl w:val="0"/>
              </w:rPr>
              <w:t xml:space="preserve"> euro</w:t>
            </w:r>
            <w:r w:rsidR="00000000" w:rsidRPr="00000000" w:rsidDel="00000000">
              <w:rPr>
                <w:sz w:val="24"/>
                <w:rtl w:val="0"/>
              </w:rPr>
              <w:t xml:space="preserve">). Budžeta ieņēmumi ir ESF+ finansējuma daļa 85 % apmērā no projekta attiecināmām izmaksām. Budžeta izdevumi ir kopējie projekta ieviešanai nepieciešamie publiskā finansējuma (ESF+, valsts un pašvaldību budžeta) līdzekļi 100 % apmērā no projekta attiecināmām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projektam 2025. gadā nav ietekmes uz valsts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VARAM plānotās attiecīgās izdevumu proporcijas dalījumā pa gadiem indikatīvi ir šādas: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 gads: 10 % no 4 335 338 </w:t>
            </w:r>
            <w:r w:rsidR="00000000" w:rsidRPr="00000000" w:rsidDel="00000000">
              <w:rPr>
                <w:sz w:val="24"/>
                <w:i w:val="1"/>
                <w:rtl w:val="0"/>
              </w:rPr>
              <w:t xml:space="preserve">euro</w:t>
            </w:r>
            <w:r w:rsidR="00000000" w:rsidRPr="00000000" w:rsidDel="00000000">
              <w:rPr>
                <w:sz w:val="24"/>
                <w:rtl w:val="0"/>
              </w:rPr>
              <w:t xml:space="preserve"> jeb 433 534 </w:t>
            </w:r>
            <w:r w:rsidR="00000000" w:rsidRPr="00000000" w:rsidDel="00000000">
              <w:rPr>
                <w:sz w:val="24"/>
                <w:i w:val="1"/>
                <w:rtl w:val="0"/>
              </w:rPr>
              <w:t xml:space="preserve">euro</w:t>
            </w:r>
            <w:r w:rsidR="00000000" w:rsidRPr="00000000" w:rsidDel="00000000">
              <w:rPr>
                <w:sz w:val="24"/>
                <w:rtl w:val="0"/>
              </w:rPr>
              <w:t xml:space="preserve">, tai skaitā ESF+ finansējums – 368 504 </w:t>
            </w:r>
            <w:r w:rsidR="00000000" w:rsidRPr="00000000" w:rsidDel="00000000">
              <w:rPr>
                <w:sz w:val="24"/>
                <w:i w:val="1"/>
                <w:rtl w:val="0"/>
              </w:rPr>
              <w:t xml:space="preserve">euro</w:t>
            </w:r>
            <w:r w:rsidR="00000000" w:rsidRPr="00000000" w:rsidDel="00000000">
              <w:rPr>
                <w:sz w:val="24"/>
                <w:rtl w:val="0"/>
              </w:rPr>
              <w:t xml:space="preserve">, valsts budžeta līdzfinansējums – 65 030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2027. gads: 19% no 4 335 338 euro jeb 823 714 euro, tai skaitā ESF+ finansējums – 700 157 euro, valsts budžeta līdzfinansējums – 48 557 euro, pašvaldību budžeta finansējums 75 000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2028. gads: 35% no 4 335 338 euro jeb 1 517 368 euro, tai skaitā ESF+ finansējums – 1 289 763 euro, valsts budžeta līdzfinansējums – 147 605 euro, pašvaldību budžeta finansējums 80 000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2029. gads: 36% no 4 335 338 euro jeb 1 560 722 euro, tai skaitā ESF+ finansējums – 1 326 613 euro, valsts budžeta līdzfinansējums – 159 109 euro, pašvaldību budžeta finansējums 75 000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Pašvaldību budžeta līdzfinansējuma apjoms ir norādīts indikatīvi, ievērojot kopējo finansējuma apmēru, ko plānots novirzīt iedzīvotāju apmācību aktivitātēm, kā arī ņemot vērā aktivitātes, ko plānots īstenot, iesaistot pašvaldības kā sadarbības partnerus, un aktivitātes, ko plānots īstenot centralizēti.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Pašvaldību iesaiste projekta īstenošanā ir plānota, tās piesaistot kā sadarbības partnerus un noslēdzot ar tām sadarbības līgumu, tajā nosakot darbības (iedzīvotāju apmācību īstenošana), ko īstenos pašvaldība, kā arī līdzfinansējuma daļu, kas attiecīgi būtu jāsedz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Gadījumā, ja, izvērtējot ANM prasmju projekta īstenošanas pieredzi un apzinot pašvaldību vajadzības, tiks secināts, ka efektīvāk ir īstenot centralizētu iepirkumu, var tikt pieņemts lēmums, ka VARAM kā finansējuma saņēmējs centralizēti veic iedzīvotāju apmācību nodrošināšanas iepirkumu, pašvaldības iesaistot satura izstrādē, mācību vajadzību apzināšanā, komunikācijā ar pašvaldību iedzīvotājiem u.tml.</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projekts var ietekmēt amata vietu skaitu, t.i., plānojot projekta īstenošanu, tiks izvērtēta esošo cilvēkresursu kapacitāte, nepieciešamības gadījumā piesaistot personālu uz darba līguma pamata vai nodrošinot projekta pasākumu īstenošanu ārpakalpojuma ietvaros. Projekta vadības un īstenošanas personāls tiks finansēts no projektu līdzekļiem.</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projekta īstenošanai attiecībā uz ESF+ līdzfinansējuma un valsts budžeta līdzfinansējuma nodrošināšanu tiks pieprasīts no valsts budžeta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32018R1046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25.3.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25.3.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20.1.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 panta 1.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22.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25.4.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Saite uz sabiedrības līdzdalības rezultātiem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noteikumu projekta izstrādē nodrošināta, publicējot noteikumu projektu Vienotajā tiesību aktu projektu izstrādes un saskaņošanas portālā, nodrošinot iespēju sabiedrībai sniegt par to viedokli. Noteikumu projekts tika publicēts publiskai apspriešanai no 2024. gada 12. marta līdz 26. martam. Iebildumi vai priekšlikumi par noteikumu projektu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sniegt ieguldījumu sabiedrības digitālo iespēju izmantošanas veicināšanā saskaņā ar Digitālās transformācijas pamatnostādnēm 2021.–2027.gadam.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saņēmējam jānodrošina, ka projektā, kur attiecināms, tiek ievērotas zaļā publiskā iepirkuma prasības.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ietvaros tiks nodrošinātas vispārīgas horizontālā principa (turpmāk - HP) darbības, kas veicina personu ar invaliditāti vienlīdzīgas iespējas un tiesības,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īstenojot projekta komunikācijas aktivitātes, tiks izvēlēta valoda un vizuālie tēli, kas mazina diskrimināciju un stereotipu veidošanos par kādu no dzimumiem, personām ar invaliditāti, reliģisko pārliecību, vecumu, rasi un etnisko izcelsmi vai seksuālo orientāciju;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nodrošināts, ka informācija publiskajā telpā, t.sk. tīmeklī, ir piekļūstama cilvēkiem ar funkcionāliem traucējumiem, izmantojot vairākus sensoros (redze, dzirde, tauste) kanālus;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nodrošināts, ka prasībās pakalpojuma sniedzējam (iepirkuma nolikumos) tiek izvirzīta prasība nodrošināt, ka konkrētajai pakalpojuma sniegšanas vietai/videi/objektam/pasākuma norises vietai ir iespēja fiziski piekļūt un to var izmantot personas ar dažādiem funkcionāliem traucējumiem patstāvīgi.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īstenotas arī specifiskas HP darbības,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pilnveidojot digitālās prasmes, cita starpā, tiks pievērsta īpaša uzmanība tam, lai potenciāli radītie gala produkti, pakalpojumi un rezultāti būtu piekļūstami visiem, t.sk., personām ar funkcionāliem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nodrošinātu pasākumu norises vietas un vides piekļūstamību, tiks nodrošināta tehnisko risinājumu - pandusu noma, indukcijas cilpu noma; nodrošināti zīmju valodas tulku, subtitrēšanas un reāllaika transkripcijas pakalpojumi, kas ir Noteikumu projekta ietvaros attiecināmas izmaksas, ja tās nepieciešamas vides un informācijas pieejamības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pilnveidojot digitālās prasmes, tiks iesaistīti nevalstiskā sektora eksperti konsultāciju sniegšanai, izvērtējot pasākumu saturu no vienlīdzīgu iespēju un nediskriminācijas aspekta (attiecīgi pievienojot dokumentus, piem. konsultāciju protokolus, pakalpojuma līgumus u.c.).</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ir jāsniedz informācija par šī horizontālā principa ievērošanu, paredzot specifiskas darbības, kas veicina vienlīdzību, iekļaušanu, nediskrimināciju un pamattiesību ievērošanu (piemēram, nodrošinot dzimumu līdztiesības aspekta integrēšanu caur semināru, konferenču vai citu pasākumu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vadībā un īstenošanā tiks virzīti pasākumi, kas sekmē darba un ģimenes dzīves līdzsvaru - paredzot elastīga un nepilna laika darba iespēju nodrošināšanu vecākiem ar bērniem un personām, kuras aprūpē tuviniekus.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4.2.4.3. pasākumam ir netieša ietekme uz horizontālo principu “Vienlīdzība, iekļaušana, nediskriminācija un pamattiesību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pienākumu finansējuma saņēmējam uzkrāt datus par horizontālā principa “Vienlīdzība, iekļaušana, nediskriminācija un pamattiesību ievērošana” rādītāju: mediju kampaņu, semināru, konferenču un komunikācijas pasākumu skaits, kuros sabiedrības informēšanai tika nodrošināti cilvēkiem ar dažāda veida funkcionāliem traucējumiem piekļūstami formāti (piemēram, tulkošana zīmju valodā, subtitrēšana, reāllaika transkripcija, raidījumu un pasākumu ieraksti).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nav ietekmes uz horizontālo principu “Klimatdrošināšana”, “Energoefektivitāte pirmajā vietā”, “Nenodarīt būtisku kaitējumu”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Biedrību un nodibinājumu, nevalstisko organizāciju iesaiste 4.2.4.3. pasākuma īstenošanā var tikt nodrošināta projekta ietvaros veiktajos iepirkumos, kur kā potenciālie pakalpojumu sniedzēji varētu būt tieši nevalstiskās organizācijas (piemēram, ar mācību, semināru, konferenču, integrēto komunikācijas kampaņu, pieredzes apmaiņas un citu prasmju paaugstināšanas un informācijas un komunikācijas tehnoloģiju iespēju izmantošanas veicināšanas pasākumu organizēšanā un īstenošanā, piesaistot ekspertu pakalpojumus, veicot konsultācijas ar ekspertiem projekta ietvaros atbalstāmo darbību plānošanai un īstenošanai).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24-TA-613</w:t>
    </w:r>
    <w:r>
      <w:br/>
    </w:r>
    <w:r w:rsidR="00000000" w:rsidRPr="00000000" w:rsidDel="00000000">
      <w:rPr>
        <w:rtl w:val="0"/>
      </w:rPr>
      <w:t xml:space="preserve">Izdrukāts 29.07.2026. 23.14 - 7.0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24-TA-613</w:t>
    </w:r>
    <w:r>
      <w:br/>
    </w:r>
    <w:r w:rsidR="00000000" w:rsidRPr="00000000" w:rsidDel="00000000">
      <w:rPr>
        <w:rtl w:val="0"/>
      </w:rPr>
      <w:t xml:space="preserve">Izdrukāts 29.07.2026. 23.14 - 7.0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anotācija_(ex_ante)_24-TA-613.docx</dc:title>
</cp:coreProperties>
</file>

<file path=docProps/custom.xml><?xml version="1.0" encoding="utf-8"?>
<Properties xmlns="http://schemas.openxmlformats.org/officeDocument/2006/custom-properties" xmlns:vt="http://schemas.openxmlformats.org/officeDocument/2006/docPropsVTypes"/>
</file>