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25. oktobra noteikumos Nr. 692 "Darbības programmas "Izaugsme un nodarbinātība" 1.2.1. specifiskā atbalsta mērķa "Palielināt privātā sektora investīcijas P&amp;A" 1.2.1.2. pasākuma "Atbalsts tehnoloģiju pārneses sistēmas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25. oktobra noteikumos Nr. 692 "Darbības programmas "Izaugsme un nodarbinātība" 1.2.1. specifiskā atbalsta mērķa "Palielināt privātā sektora investīcijas P&amp;A" 1.2.1.2. pasākuma "Atbalsts tehnoloģiju pārneses sistēmas pilnveidošanai" īstenošanas noteikumi"" (turpmāk - MK noteikumu projekts) izstrādāts, pamatojoties uz Eiropas Savienības struktūrfondu un Kohēzijas fonda 2014.–2020. gada plānošanas perioda vadības likuma 20. panta 13. punktu, pēc Ekonomikas ministrijas (turpmāk – EM) kā atbildīgās iestādes par Darbības programmas "Izaugsme un nodarbinātība" 1.2.1. specifiskā atbalsta mērķa "Palielināt privātā sektora investīcijas P&amp;A" 1.2.1.2. pasākuma "Atbalsts tehnoloģiju pārneses sistēmas pilnveidošanai"" (turpmāk - 1.2.1.2. pasākums)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nodrošinātu optimālu Eiropas Reģionālās attīstības fonda (turpmāk - ERAF) un valsts budžeta līdzekļu izmantošanu EM atbildībā esošā 1.2.1.2.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 gada septembrim 1.2.1.2. pasākuma ietvaros ir apstiprināts finansējuma izlietojums 19 338 671.28 </w:t>
      </w:r>
      <w:r w:rsidR="00000000" w:rsidRPr="00000000" w:rsidDel="00000000">
        <w:rPr>
          <w:i w:val="1"/>
          <w:rtl w:val="0"/>
        </w:rPr>
        <w:t xml:space="preserve">euro </w:t>
      </w:r>
      <w:r w:rsidR="00000000" w:rsidRPr="00000000" w:rsidDel="00000000">
        <w:rPr>
          <w:rtl w:val="0"/>
        </w:rPr>
        <w:t xml:space="preserve">apmērā. Izskatīšanā un sagatavošanā ir maksājuma pieprasījumi 5.5 milj. </w:t>
      </w:r>
      <w:r w:rsidR="00000000" w:rsidRPr="00000000" w:rsidDel="00000000">
        <w:rPr>
          <w:i w:val="1"/>
          <w:rtl w:val="0"/>
        </w:rPr>
        <w:t xml:space="preserve">euro</w:t>
      </w:r>
      <w:r w:rsidR="00000000" w:rsidRPr="00000000" w:rsidDel="00000000">
        <w:rPr>
          <w:rtl w:val="0"/>
        </w:rPr>
        <w:t xml:space="preserve"> apmērā ar atskaites periodu uz 2022. gada 30. jūniju. Pēc LIAA sniegtās informācijas uz 2022. gada 30. jūniju ir atbalstīti 258 komersanti no plānotajiem 320, atbalstītie pētniecības rezultātu komercializācijas projekti ir 104 un rādītājs ir sasniegts, privātās investīcijas, kas papildina valsts atbalstu inovācijām vai pētniecības un izstrādes projektiem, ir 3 044 811 </w:t>
      </w:r>
      <w:r w:rsidR="00000000" w:rsidRPr="00000000" w:rsidDel="00000000">
        <w:rPr>
          <w:i w:val="1"/>
          <w:rtl w:val="0"/>
        </w:rPr>
        <w:t xml:space="preserve">euro</w:t>
      </w:r>
      <w:r w:rsidR="00000000" w:rsidRPr="00000000" w:rsidDel="00000000">
        <w:rPr>
          <w:rtl w:val="0"/>
        </w:rPr>
        <w:t xml:space="preserve"> un rādītājs ir pārsniegts. Pieprasījums pēc 1.2.1.2. pasākuma atbalstāmajām aktivitātēm ir augsts.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ietvaros pieejamais atbalsts ir būtisks turpmākai pētniecības, inovatīvu ideju, produktu vai procesu izmantošanai saimnieciskajā darbībā, veicinot uzņēmējdarbības aktivitātes visā Latvijā, kas ne tikai rada jaunus eksportspējīgus produktus, bet arī nodrošina jaunas darba vietas un labklājības līmeni Latvijas iedzīvotājiem kopumā. Tāpat Covid-19 pandēmija, ģeopolitiskā spriedze un mikroelektronikas vērtību ķēžu koncentrācija Āzijas valstīs ir radījusi kritisku pusvadītāju trūkumu Eiropā un aktualizējusi nepieciešamību pēc stratēģiskām investīcijām, lai nodrošinātu Eiropas Savienības dalībvalstu neatkarību pusvadītāju tirgū. Jaunuzņēmumiem 1.2.1.2. pasākuma ietvaros pieejamais finansējums nav pietiekams, lai varētu attīstīt vai būtiski uzlabot savu produktu vai tehnoloģiju un piesaistīt augsti kvalificētu darbaspēku.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Tehnoloģiju pārneses ceļā tiek sniegts atbalsts komersantiem jaunu vai būtiski uzlabotu produktu vai tehnoloģiju attīstībai. Lai izvērtētu nacionālās nozīmes investīciju nepieciešamību un iespējamos ieguvumus Latvijas tautsaimniecības attīstībai, ietverot produktu un tehnoloģiju attīstību, ir nepieciešams veikt padziļinātu Latvijas potenciāla un kapacitātes izvērtējumu, izpētot gan pusvadītāju vērtību ķēžu aktuālo situāciju, gan Latvijā pieejamo kompetenci, kapacitāti un iespējas. Tāpat ir nepieciešams turpināt aktīvi sniegt atbalstu jaunuzņēmumiem, kas veicinās Latvijas Viedās specializācijas stratēģijā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ietvaros ir izveidojies finansējuma atlikums, kas 768 847 </w:t>
      </w:r>
      <w:r w:rsidR="00000000" w:rsidRPr="00000000" w:rsidDel="00000000">
        <w:rPr>
          <w:i w:val="1"/>
          <w:rtl w:val="0"/>
        </w:rPr>
        <w:t xml:space="preserve">euro</w:t>
      </w:r>
      <w:r w:rsidR="00000000" w:rsidRPr="00000000" w:rsidDel="00000000">
        <w:rPr>
          <w:rtl w:val="0"/>
        </w:rPr>
        <w:t xml:space="preserve"> (ERAF) apmērā tiks novirzīts 1.2.1.2. pasākumam uzņēmējdarbības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EM paralēli veic grozījumus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precizēts 6. punkts, palielinot kopējo 1.2.1.2. pasākuma finansējumu, kas kopā būs 36 211 585 </w:t>
      </w:r>
      <w:r w:rsidR="00000000" w:rsidRPr="00000000" w:rsidDel="00000000">
        <w:rPr>
          <w:i w:val="1"/>
          <w:rtl w:val="0"/>
        </w:rPr>
        <w:t xml:space="preserve">euro</w:t>
      </w:r>
      <w:r w:rsidR="00000000" w:rsidRPr="00000000" w:rsidDel="00000000">
        <w:rPr>
          <w:rtl w:val="0"/>
        </w:rPr>
        <w:t xml:space="preserve">, tai skaitā ERAF finansējums – 30 779 847 </w:t>
      </w:r>
      <w:r w:rsidR="00000000" w:rsidRPr="00000000" w:rsidDel="00000000">
        <w:rPr>
          <w:i w:val="1"/>
          <w:rtl w:val="0"/>
        </w:rPr>
        <w:t xml:space="preserve">euro</w:t>
      </w:r>
      <w:r w:rsidR="00000000" w:rsidRPr="00000000" w:rsidDel="00000000">
        <w:rPr>
          <w:rtl w:val="0"/>
        </w:rPr>
        <w:t xml:space="preserve"> un valsts budžeta finansējums – 5 431 738 </w:t>
      </w:r>
      <w:r w:rsidR="00000000" w:rsidRPr="00000000" w:rsidDel="00000000">
        <w:rPr>
          <w:i w:val="1"/>
          <w:rtl w:val="0"/>
        </w:rPr>
        <w:t xml:space="preserve">euro, </w:t>
      </w:r>
      <w:r w:rsidR="00000000" w:rsidRPr="00000000" w:rsidDel="00000000">
        <w:rPr>
          <w:rtl w:val="0"/>
        </w:rPr>
        <w:t xml:space="preserve">ietverot atsauci, ka tiek ievērota ERAF finansējuma intensitāte 85% apmērā no kopējā plānotā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ERAF finansējuma indikatīvais sadalījums pa intervences kategorijām ir šāds: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062 Tehnoloģiju pārnese un augstskolu un uzņēmumu sadarbība, kas lielāko labumu sniedz MVU - 22 777 987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064 Pētniecības un inovācijas procesi MVU (tostarp kuponu shēmas, procesu, dizaina, pakalpojumu un sociālā inovācija) - 8 001 860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finansējumu paredzēts novirzīt atbalstāmajām darbībām jaunuzņēmumu veidošanās un ilgtspējas veicināšanai, inovāciju vaučeru atbalsta pakalpojumu nodrošināšanai jaunuzņēmumiem indikatīvi 384 423 </w:t>
      </w:r>
      <w:r w:rsidR="00000000" w:rsidRPr="00000000" w:rsidDel="00000000">
        <w:rPr>
          <w:i w:val="1"/>
          <w:rtl w:val="0"/>
        </w:rPr>
        <w:t xml:space="preserve">euro</w:t>
      </w:r>
      <w:r w:rsidR="00000000" w:rsidRPr="00000000" w:rsidDel="00000000">
        <w:rPr>
          <w:rtl w:val="0"/>
        </w:rPr>
        <w:t xml:space="preserve"> apmērā, starptautiskā tehnoloģiju tirgus pieprasījuma izpētei indikatīvi 384 424 </w:t>
      </w:r>
      <w:r w:rsidR="00000000" w:rsidRPr="00000000" w:rsidDel="00000000">
        <w:rPr>
          <w:i w:val="1"/>
          <w:rtl w:val="0"/>
        </w:rPr>
        <w:t xml:space="preserve">euro</w:t>
      </w:r>
      <w:r w:rsidR="00000000" w:rsidRPr="00000000" w:rsidDel="00000000">
        <w:rPr>
          <w:rtl w:val="0"/>
        </w:rPr>
        <w:t xml:space="preserve"> apmērā, jo precīzs finansējuma apmērs nav nosakāms un tas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saglabājas pieprasījums no jaunuzņēmumu puses augsti kvalificētu darbinieku piesaistei, lai varētu attīstīt vai būtiski uzlabot savu produktu vai tehnoloģiju, tādejādi dodot ieguldījumu Latvijas Viedās specializācijas stratēģijas mērķu sasniegšanā, kā arī nepieciešams izvērtēt tehnoloģiju tirgus pieprasījumu un piedāvājumu, ņemot vērā ģeopolitisko situāciju pasaulē. Plānotās darbības atbilst MK noteikumu 17.1.7., 17.1.11. un 17.2.1. apakšpunktā minētajām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finansējums sniegs ieguldījumu 1.2.1.2. pasākumam noteikto sasniedzamo rādītāju sasniegšanā,  un paredzētās darbības ir atbilstošas Darbības programmā 1.2.1. specifiskā atbalsta mērķim noteiktajām darbībām. Finansējuma pārdale neietekmē Darbības programmas "Izaugsme un nodarbinātība" 1. prioritārā virziena "Pētniecības, tehnoloģiju attīstība un inovācijas" specifiskā atbalsta mērķu ietvaros noteikto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precizējumi arī MK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8.2. apakšpunktā, precizējot rādītāju sasniegšanas termiņu - 2023. gada 31. decembris, ņemot vērā 1.2.1.2. pasākuma īstenošanas gala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 punktā, papildinot ar atsauci uz 100% atbalsta intensitāti, lai viennozīmīgi ir skaidrs, ka tas attiecas uz finansējuma saņēmējam piešķiramo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28. punktā, papildinot ar atsauci, ka minētais vērtēšanas komisijas nolikums, pieteikumu vērtēšanas kritēriji un vērtēšanas metodika satur informāciju, kā LIAA izvērtē atbalstu darbībām tehnoloģiju pārneses un ar saimniecisko darbību nesaistītu pētniecības pieteikumu ietvaros, lai nodrošinātu, ka atbalsts netiek sniegts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39.</w:t>
      </w:r>
      <w:r w:rsidR="00000000" w:rsidRPr="00000000" w:rsidDel="00000000">
        <w:rPr>
          <w:vertAlign w:val="superscript"/>
          <w:rtl w:val="0"/>
        </w:rPr>
        <w:t xml:space="preserve">2  </w:t>
      </w:r>
      <w:r w:rsidR="00000000" w:rsidRPr="00000000" w:rsidDel="00000000">
        <w:rPr>
          <w:rtl w:val="0"/>
        </w:rPr>
        <w:t xml:space="preserve">un 88.</w:t>
      </w:r>
      <w:r w:rsidR="00000000" w:rsidRPr="00000000" w:rsidDel="00000000">
        <w:rPr>
          <w:vertAlign w:val="superscript"/>
          <w:rtl w:val="0"/>
        </w:rPr>
        <w:t xml:space="preserve">1 </w:t>
      </w:r>
      <w:r w:rsidR="00000000" w:rsidRPr="00000000" w:rsidDel="00000000">
        <w:rPr>
          <w:rtl w:val="0"/>
        </w:rPr>
        <w:t xml:space="preserve">punktā, lai nodrošinātu normas par atbalsta saņēmēja saņemtā atbalsta atmaksāšanas nosacījumiem viennozīmīgu interpretāciju, kā arī noteikumu projekts papildināts ar jaunu 39.</w:t>
      </w:r>
      <w:r w:rsidR="00000000" w:rsidRPr="00000000" w:rsidDel="00000000">
        <w:rPr>
          <w:vertAlign w:val="superscript"/>
          <w:rtl w:val="0"/>
        </w:rPr>
        <w:t xml:space="preserve">3</w:t>
      </w:r>
      <w:r w:rsidR="00000000" w:rsidRPr="00000000" w:rsidDel="00000000">
        <w:rPr>
          <w:rtl w:val="0"/>
        </w:rPr>
        <w:t xml:space="preserve"> un 88.</w:t>
      </w:r>
      <w:r w:rsidR="00000000" w:rsidRPr="00000000" w:rsidDel="00000000">
        <w:rPr>
          <w:vertAlign w:val="superscript"/>
          <w:rtl w:val="0"/>
        </w:rPr>
        <w:t xml:space="preserve">2</w:t>
      </w:r>
      <w:r w:rsidR="00000000" w:rsidRPr="00000000" w:rsidDel="00000000">
        <w:rPr>
          <w:rtl w:val="0"/>
        </w:rPr>
        <w:t xml:space="preserve"> punktu, nosakot, ka no atbalsta saņēmēja atgūto nelikumīgo komercdarbības atbalstu un </w:t>
      </w:r>
      <w:r w:rsidR="00000000" w:rsidRPr="00000000" w:rsidDel="00000000">
        <w:rPr>
          <w:i w:val="1"/>
          <w:rtl w:val="0"/>
        </w:rPr>
        <w:t xml:space="preserve">de minimis </w:t>
      </w:r>
      <w:r w:rsidR="00000000" w:rsidRPr="00000000" w:rsidDel="00000000">
        <w:rPr>
          <w:rtl w:val="0"/>
        </w:rPr>
        <w:t xml:space="preserve">atbalstu LIAA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70. punktā, papildinot ar atsauci, ka LIAA izvēlas preču piegādātāju/pakalpojuma sniedzējus saskaņā ar normatīvajiem aktiem publisko iepirkumu jomā, īstenojot atklātu, pārredzamu, nediskriminējošu un konkurenci nodrošinošu procedūru, lai nodrošinātu, ka preču piegādātāju/pakalpojumu sniedzēja līmenī netiek sniegts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85. punktā, precizējot informācijas pieejamības nosacījumus, kā arī noteikumu projekts papildināts ar jaunu 85.1. un 85.2. apakšpunktu, nodalot informācijas pieejamības prasības LIAA un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98. punktā, lai nodrošinātu normas par atbalstāmo darbību atbalsta saņēmējam uzsākšanas brīdi viennozīmīgu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99. punktā, precizējot redakciju par nelikumīgu komercdarbības atbalstu. Nelikumīga komercdarbības atbalsta atgūšanas nosacījumi atrunāti noteikumu projekta 104. punktā, kā arī noteikumu projekts papildināts ar 104.</w:t>
      </w:r>
      <w:r w:rsidR="00000000" w:rsidRPr="00000000" w:rsidDel="00000000">
        <w:rPr>
          <w:vertAlign w:val="superscript"/>
          <w:rtl w:val="0"/>
        </w:rPr>
        <w:t xml:space="preserve">1</w:t>
      </w:r>
      <w:r w:rsidR="00000000" w:rsidRPr="00000000" w:rsidDel="00000000">
        <w:rPr>
          <w:rtl w:val="0"/>
        </w:rPr>
        <w:t xml:space="preserve"> punktu, nosakot, ka no atbalsta saņēmēja atgūto nelikumīgo komercdarbības atbalstu LIAA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105. punktā, redakcionāli precizējot terminu "gala labuma guvējs" uz "atbalsta saņēmējs" un "atbalsta sniedzējs" uz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normas interpretācijai attiecībā uz komercdarbības atbalstu jāņem vērā 2018. gada 28. augustā (prot. Nr. 40 6. §) 1.2.1.2. pasākuma ietvaros apstiprinātos grozījumus, kas paredz iespēju komersantiem piesaistīt inovācijas vaučera finansējumu arī saskaņā ar Eiropas Komisijas 2014. gada 17. jūnija Regulu (ES) Nr. 651/2014, ar ko noteiktas atbalsta kategorijas atzīst par saderīgām ar iekšējo tirgu, piemērojot Līguma 107. un 108. pantu (turpmāk - Komisijas regula Nr. 651/214), jo īstenošanas praksē tika konstatēti gadījumi, kad komersantiem nav iespējams piesaistīt inovācijas vaučera finansējumu, jo ir pārsniegts maksimālais </w:t>
      </w:r>
      <w:r w:rsidR="00000000" w:rsidRPr="00000000" w:rsidDel="00000000">
        <w:rPr>
          <w:i w:val="1"/>
          <w:rtl w:val="0"/>
        </w:rPr>
        <w:t xml:space="preserve">de minimis </w:t>
      </w:r>
      <w:r w:rsidR="00000000" w:rsidRPr="00000000" w:rsidDel="00000000">
        <w:rPr>
          <w:rtl w:val="0"/>
        </w:rPr>
        <w:t xml:space="preserve">atbalsta apmērs citās atbalsta programmās. Ar grozījumiem nodrošināts, ka komersants atkarībā no situācijas var izvēlēties vienu vai otru atbalsta veidu – paredzot iespēju pretendēt uz atbalstu arī Komisijas regulas Nr. 651/214 ietvaros un </w:t>
      </w:r>
      <w:r w:rsidR="00000000" w:rsidRPr="00000000" w:rsidDel="00000000">
        <w:rPr>
          <w:i w:val="1"/>
          <w:rtl w:val="0"/>
        </w:rPr>
        <w:t xml:space="preserve">de minimis</w:t>
      </w:r>
      <w:r w:rsidR="00000000" w:rsidRPr="00000000" w:rsidDel="00000000">
        <w:rPr>
          <w:rtl w:val="0"/>
        </w:rPr>
        <w:t xml:space="preserve"> atbalstu izmantot citā atbalsta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veiks grozījumus vienošanās par projekta īstenošanu ar Centrālo finanšu un līgumu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pasākuma ietvaros uz 2023. gada 31. decembri neizmantotais finansējums prioritāri tiks novirzīts virssaistību kompensēšanai, vienlaikus 2023. gadā izvērtējot iespēju novirzīt neizmantoto finansējumu, ja tāds radīsies, citu specifiskā atbalsta mērķa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ietekme uz mērķgrupu.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uzņēmēju konkurētspēju, īpaši, ja tie darbojas un/vai attīsta produktus, tehnoloģijas un pakalpojumus kādā no RIS3 specializācijas jomām.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uzņēmējus, īpaši, ja tie darbojas un/vai attīsta produktus, tehnoloģijas un pakalpojumus kādā no RIS3 specializācijas jomām.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5 039 529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768 847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5 039 529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768 847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2 110 246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5 928 858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904 526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2 482 643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5 928 858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904 526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2 482 643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-889 329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-889 329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-372 397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-135 679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1.2.1.2. pasākuma finansējuma palielinājums kopā plānots 904 526 </w:t>
            </w:r>
            <w:r w:rsidR="00000000" w:rsidRPr="00000000" w:rsidDel="00000000">
              <w:rPr>
                <w:sz w:val="24"/>
                <w:i w:val="1"/>
                <w:rtl w:val="0"/>
              </w:rPr>
              <w:t xml:space="preserve">euro</w:t>
            </w:r>
            <w:r w:rsidR="00000000" w:rsidRPr="00000000" w:rsidDel="00000000">
              <w:rPr>
                <w:sz w:val="24"/>
                <w:rtl w:val="0"/>
              </w:rPr>
              <w:t xml:space="preserve"> apmērā (ERAF finansējums 768 847 </w:t>
            </w:r>
            <w:r w:rsidR="00000000" w:rsidRPr="00000000" w:rsidDel="00000000">
              <w:rPr>
                <w:sz w:val="24"/>
                <w:i w:val="1"/>
                <w:rtl w:val="0"/>
              </w:rPr>
              <w:t xml:space="preserve">euro</w:t>
            </w:r>
            <w:r w:rsidR="00000000" w:rsidRPr="00000000" w:rsidDel="00000000">
              <w:rPr>
                <w:sz w:val="24"/>
                <w:rtl w:val="0"/>
              </w:rPr>
              <w:t xml:space="preserve"> un valsts budžeta finansējums 135 679 </w:t>
            </w:r>
            <w:r w:rsidR="00000000" w:rsidRPr="00000000" w:rsidDel="00000000">
              <w:rPr>
                <w:sz w:val="24"/>
                <w:i w:val="1"/>
                <w:rtl w:val="0"/>
              </w:rPr>
              <w:t xml:space="preserve">euro</w:t>
            </w:r>
            <w:r w:rsidR="00000000" w:rsidRPr="00000000" w:rsidDel="00000000">
              <w:rPr>
                <w:sz w:val="24"/>
                <w:rtl w:val="0"/>
              </w:rPr>
              <w:t xml:space="preserve"> apmērā), pārdalot no 1.2.2.3. pasākuma “Atbalsts IKT un netehnoloģiskām apmācībām, kā arī apmācībām, lai sekmētu investoru piesaisti" un 13.1.6. specifiskā atbalsta mērķa "Atveseļošanas pasākumi ekonomikas nozarē – nodarbināto apmācības (ERAF)" LIAA projekta aktivitātes “Apmācību īstenošana ārvalstu investoru piesaistei” ERAF finansējumu 768 847 </w:t>
            </w:r>
            <w:r w:rsidR="00000000" w:rsidRPr="00000000" w:rsidDel="00000000">
              <w:rPr>
                <w:sz w:val="24"/>
                <w:i w:val="1"/>
                <w:rtl w:val="0"/>
              </w:rPr>
              <w:t xml:space="preserve">euro</w:t>
            </w:r>
            <w:r w:rsidR="00000000" w:rsidRPr="00000000" w:rsidDel="00000000">
              <w:rPr>
                <w:sz w:val="24"/>
                <w:rtl w:val="0"/>
              </w:rPr>
              <w:t xml:space="preserve"> apmērā, kas ir 1.2.2.3. pasākuma ERAF finansējums. Uz 1.2.1.2. pasākumu pārdala tikai pieejamo ERAF finansējuma daļu, nepieciešamo valsts budžeta finansējuma daļu EM lūgs segt no valsts budžeta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1.2.1.2. pasākumam kopējais attiecināmais finansējums, ņemot vērā finansējuma pārdali no 1.2.2.3. pasākuma, ir 36 211 585 </w:t>
            </w:r>
            <w:r w:rsidR="00000000" w:rsidRPr="00000000" w:rsidDel="00000000">
              <w:rPr>
                <w:sz w:val="24"/>
                <w:i w:val="1"/>
                <w:rtl w:val="0"/>
              </w:rPr>
              <w:t xml:space="preserve">euro</w:t>
            </w:r>
            <w:r w:rsidR="00000000" w:rsidRPr="00000000" w:rsidDel="00000000">
              <w:rPr>
                <w:sz w:val="24"/>
                <w:rtl w:val="0"/>
              </w:rPr>
              <w:t xml:space="preserve">, tai skaitā ERAF finansējums – 30 779 847 </w:t>
            </w:r>
            <w:r w:rsidR="00000000" w:rsidRPr="00000000" w:rsidDel="00000000">
              <w:rPr>
                <w:sz w:val="24"/>
                <w:i w:val="1"/>
                <w:rtl w:val="0"/>
              </w:rPr>
              <w:t xml:space="preserve">euro</w:t>
            </w:r>
            <w:r w:rsidR="00000000" w:rsidRPr="00000000" w:rsidDel="00000000">
              <w:rPr>
                <w:sz w:val="24"/>
                <w:rtl w:val="0"/>
              </w:rPr>
              <w:t xml:space="preserve"> un valsts budžeta finansējums – 5 431 738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EM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14. jūnija noteikumi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Brīvā finansējuma pārdale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izdiskutēts ar finansējuma saņēmēju un paredz finansējuma pārdali Latvijas Investīciju un attīstības aģentūras administrēto specifiskā atbalsta mērķa pasākumu starpā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22-TA-2685</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22-TA-2685</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anotācija_(ex_ante)_22-TA-2685.docx</dc:title>
</cp:coreProperties>
</file>

<file path=docProps/custom.xml><?xml version="1.0" encoding="utf-8"?>
<Properties xmlns="http://schemas.openxmlformats.org/officeDocument/2006/custom-properties" xmlns:vt="http://schemas.openxmlformats.org/officeDocument/2006/docPropsVTypes"/>
</file>