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2023. gada 4. aprīļa noteikumos Nr. 169 "Eiropas Savienības kohēzijas politikas programmas 2021.–2027. gadam 2.2.3. specifiskā atbalsta mērķa "Uzlabot dabas aizsardzību un bioloģisko daudzveidību, "zaļo" infrastruktūru, it īpaši pilsētvidē, un samazināt piesārņojumu" 2.2.3.6. pasākuma "Gaisa piesārņojumu mazinošu pasākumu īstenošana, uzlabojot mājsaimniecību siltumapgādes sistēmas"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izstrādāts pēc Vides aizsardzības un reģionālās attīstības ministrijas kā Eiropas Savienības (turpmāk – ES) fondu atbildīgās iestādes iniciatīvas, ievērojot Eiropas Savienības fondu 2021.–2027. gada plānošanas perioda vadības likuma 19. panta 13. punktu, kas nosaka Ministru kabinetam izstrādāt nosacījumus specifiskā atbalsta mērķa īstenošanai.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noteikt regulējumu, kas ir atbilstošs izmaiņām starptautiskajos normatīvajos tiesību aktos attiecībā uz </w:t>
      </w:r>
      <w:r w:rsidR="00000000" w:rsidRPr="00000000" w:rsidDel="00000000">
        <w:rPr>
          <w:i w:val="1"/>
          <w:rtl w:val="0"/>
        </w:rPr>
        <w:t xml:space="preserve">de minimis</w:t>
      </w:r>
      <w:r w:rsidR="00000000" w:rsidRPr="00000000" w:rsidDel="00000000">
        <w:rPr>
          <w:rtl w:val="0"/>
        </w:rPr>
        <w:t xml:space="preserve"> atbalsta nosacījumiem.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"Grozījumi Ministru kabineta 2023. gada 4. aprīļa noteikumos Nr. 169 "Eiropas Savienības kohēzijas politikas programmas 2021.–2027. gadam 2.2.3. specifiskā atbalsta mērķa "Uzlabot dabas aizsardzību un bioloģisko daudzveidību, "zaļo" infrastruktūru, it īpaši pilsētvidē, un samazināt piesārņojumu" 2.2.3.6. pasākuma "Gaisa piesārņojumu mazinošu pasākumu īstenošana, uzlabojot mājsaimniecību siltumapgādes sistēmas" īstenošanas noteikumi"" (turpmāk - noteikumu projekts) izstrādāts, jo atbalstu attiecināmo darbību izmaksu segšanai, kas kvalificējas kā komercdarbības atbalsts, atbilstoši Ministru kabineta 2023. gada 4. aprīļa noteikumu Nr. 169 "Eiropas Savienības kohēzijas politikas programmas 2021.–2027. gadam 2.2.3. specifiskā atbalsta mērķa "Uzlabot dabas aizsardzību un bioloģisko daudzveidību, "zaļo" infrastruktūru, it īpaši pilsētvidē, un samazināt piesārņojumu" 2.2.3.6. pasākuma "Gaisa piesārņojumu mazinošu pasākumu īstenošana, uzlabojot mājsaimniecību siltumapgādes sistēmas" īstenošanas noteikumi"" (turpmāk - MK noteikumi Nr.169) noteiktajām prasībām sniedz saskaņā ar Komisijas 2013. gada 18. decembra Regulu (ES) Nr. 1407/2013 </w:t>
      </w:r>
      <w:r w:rsidR="00000000" w:rsidRPr="00000000" w:rsidDel="00000000">
        <w:rPr>
          <w:i w:val="1"/>
          <w:rtl w:val="0"/>
        </w:rPr>
        <w:t xml:space="preserve">par Līguma par Eiropas Savienības darbību 107. un 108. panta piemērošanu de minimis atbalstam</w:t>
      </w:r>
      <w:r w:rsidR="00000000" w:rsidRPr="00000000" w:rsidDel="00000000">
        <w:rPr>
          <w:rtl w:val="0"/>
        </w:rPr>
        <w:t xml:space="preserve"> (ES Oficiālais Vēstnesis, 2013. gada 24. decembris, Nr. L 352) (turpmāk – regula Nr. 1407/2013) un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Papildus MK noteikumos Nr.169 ir noteikts, ka Lēmumu par atbalsta piešķiršanu saskaņā ar regulu Nr. 1407/2013 var pieņemt līdz šīs regulas darbības beigām, tas ir, līdz 2024.gada 30.jūnijam. Ņemot vērā ka turpinās projektu iesniegumu atlases un, ka 2024. gada 1. janvārī stājās spēkā Komisijas 2023. gada 13. decembra Regulu (ES) Nr. 2023/2831 </w:t>
      </w:r>
      <w:r w:rsidR="00000000" w:rsidRPr="00000000" w:rsidDel="00000000">
        <w:rPr>
          <w:i w:val="1"/>
          <w:rtl w:val="0"/>
        </w:rPr>
        <w:t xml:space="preserve">par Līguma par Eiropas Savienības darbību 107. un 108. panta piemērošanu de minimis atbalstam</w:t>
      </w:r>
      <w:r w:rsidR="00000000" w:rsidRPr="00000000" w:rsidDel="00000000">
        <w:rPr>
          <w:rtl w:val="0"/>
        </w:rPr>
        <w:t xml:space="preserve"> (ES Oficiālais Vēstnesis, 2023. gada 15. decembris, Serija L) (turpmāk – regula Nr. 2023/2831), kas aizstāj MK noteikumos Nr.169 ietverto regulu Nr. 1407/2013, nepieciešama noteikumu projekta izstrāde, kas paredz ietvert regulējumu komercdarbības atbalsta piešķiršanai pēc 2024.gada 1.jūlija.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MK noteikumu Nr.169 12.punkta prasībām pasākuma ceturtais uzsaukums izsludināts 2024. gada 1. martā, un, ņemot vērā MK noteikumu Nr.169 9.punktā minēto pasākuma 1., 2. un 3.uzsaukumu projektu praktisko skaitu un projektu izvērtēšanas laiku, paredzams, ka pasākuma 4.uzsaukuma projektiem līdz 2024.gada 30.jūnijam netiks pieņemti visi lēmumi par projektu iesniegumu apstiprināšanu vai atzinumi par projektam izvirzīto nosacījumu izpildi, tādējādi ir nepieciešami grozījumi, kas ļaus uzsaukumu ietvaros piemērot jaunās </w:t>
      </w:r>
      <w:r w:rsidR="00000000" w:rsidRPr="00000000" w:rsidDel="00000000">
        <w:rPr>
          <w:i w:val="1"/>
          <w:rtl w:val="0"/>
        </w:rPr>
        <w:t xml:space="preserve">de minimis</w:t>
      </w:r>
      <w:r w:rsidR="00000000" w:rsidRPr="00000000" w:rsidDel="00000000">
        <w:rPr>
          <w:rtl w:val="0"/>
        </w:rPr>
        <w:t xml:space="preserve"> Regulas Nr. 2023/2831 nosacījumus.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paredzēti:</w:t>
      </w:r>
      <w:r w:rsidR="00000000" w:rsidRPr="00000000" w:rsidDel="00000000">
        <w:rPr>
          <w:b w:val="1"/>
          <w:rtl w:val="0"/>
        </w:rPr>
        <w:t xml:space="preserve">1. Precizējumi, kas ir atbilstoši izmaiņām starptautiskajos normatīvajos tiesību aktos attiecībā uz </w:t>
      </w:r>
      <w:r w:rsidR="00000000" w:rsidRPr="00000000" w:rsidDel="00000000">
        <w:rPr>
          <w:b w:val="1"/>
          <w:i w:val="1"/>
          <w:rtl w:val="0"/>
        </w:rPr>
        <w:t xml:space="preserve">de minimis</w:t>
      </w:r>
      <w:r w:rsidR="00000000" w:rsidRPr="00000000" w:rsidDel="00000000">
        <w:rPr>
          <w:b w:val="1"/>
          <w:rtl w:val="0"/>
        </w:rPr>
        <w:t xml:space="preserve"> atbalsta nosacījumiem:</w:t>
      </w:r>
      <w:r w:rsidR="00000000" w:rsidRPr="00000000" w:rsidDel="00000000">
        <w:rPr>
          <w:rtl w:val="0"/>
        </w:rPr>
        <w:t xml:space="preserve">Noteikumu projektā iekļautās izmaiņas paredz kopumā labvēlīgākus nosacījumus projektu iesniedzējiem. Ar noteikumu projektu paredzēts, ka nosacījumi par </w:t>
      </w:r>
      <w:r w:rsidR="00000000" w:rsidRPr="00000000" w:rsidDel="00000000">
        <w:rPr>
          <w:i w:val="1"/>
          <w:rtl w:val="0"/>
        </w:rPr>
        <w:t xml:space="preserve">de minimis</w:t>
      </w:r>
      <w:r w:rsidR="00000000" w:rsidRPr="00000000" w:rsidDel="00000000">
        <w:rPr>
          <w:rtl w:val="0"/>
        </w:rPr>
        <w:t xml:space="preserve"> atbalstu atbilstoši regulai Nr. 1407/2013 paliek līdzvērtīgi MK noteikumos Nr 169 ietvertajiem nosacījumiem, vienlaikus ir papildinātas normas, skaidrojot nosacījumus Regulas Nr. 2023/2831 piemērošanai.</w:t>
      </w:r>
      <w:r w:rsidR="00000000" w:rsidRPr="00000000" w:rsidDel="00000000">
        <w:rPr>
          <w:rtl w:val="0"/>
        </w:rPr>
        <w:t xml:space="preserve">Ar noteikumu projektu precizēts, ka atbalstu attiecināmo darbību izmaksu segšanai, ja projekta īstenošanas pasākumi tiek veikti noteikumu 18.punktā minētajā dzīvojamā mājā, kur kāds no īpašniekiem veic saimniecisko darbību un pretendē uz atbalstu, kas kvalificējas kā komercdarbības atbalsts, tad līdz 2024.gada 30.jūnijam šo atbalstu tam dzīvojamās mājas īpašniekam, kas pretendē uz atbalstu, kas kvalificējas kā komercdarbības atbalsts, sniedz saskaņā ar Regulu Nr. 1407/2013, bet no 2024.gada 1.jūlija atbalstu sniedz saskaņā ar Regulu Nr. 2023/2831.  </w:t>
      </w:r>
      <w:r w:rsidR="00000000" w:rsidRPr="00000000" w:rsidDel="00000000">
        <w:rPr>
          <w:rtl w:val="0"/>
        </w:rPr>
        <w:t xml:space="preserve">Ar noteikumu projektu paredzēts, ka mājas īpašniekam </w:t>
      </w:r>
      <w:r w:rsidR="00000000" w:rsidRPr="00000000" w:rsidDel="00000000">
        <w:rPr>
          <w:i w:val="1"/>
          <w:rtl w:val="0"/>
        </w:rPr>
        <w:t xml:space="preserve">de minimis</w:t>
      </w:r>
      <w:r w:rsidR="00000000" w:rsidRPr="00000000" w:rsidDel="00000000">
        <w:rPr>
          <w:rtl w:val="0"/>
        </w:rPr>
        <w:t xml:space="preserve"> atbalsts vienam vienotam uzņēmumam triju fiskālo gadu periodā nepārsniedz 200 000 </w:t>
      </w:r>
      <w:r w:rsidR="00000000" w:rsidRPr="00000000" w:rsidDel="00000000">
        <w:rPr>
          <w:i w:val="1"/>
          <w:rtl w:val="0"/>
        </w:rPr>
        <w:t xml:space="preserve">euro</w:t>
      </w:r>
      <w:r w:rsidR="00000000" w:rsidRPr="00000000" w:rsidDel="00000000">
        <w:rPr>
          <w:rtl w:val="0"/>
        </w:rPr>
        <w:t xml:space="preserve"> atbilstoši atbalstam, ko piešķir saskaņā ar Regulu Nr. 1407/2013, bet iepriekšējos trīs gados no plānotā </w:t>
      </w:r>
      <w:r w:rsidR="00000000" w:rsidRPr="00000000" w:rsidDel="00000000">
        <w:rPr>
          <w:i w:val="1"/>
          <w:rtl w:val="0"/>
        </w:rPr>
        <w:t xml:space="preserve">de minimis</w:t>
      </w:r>
      <w:r w:rsidR="00000000" w:rsidRPr="00000000" w:rsidDel="00000000">
        <w:rPr>
          <w:rtl w:val="0"/>
        </w:rPr>
        <w:t xml:space="preserve"> atbalsta piešķiršanas brīža nepārsniedz 300 000 </w:t>
      </w:r>
      <w:r w:rsidR="00000000" w:rsidRPr="00000000" w:rsidDel="00000000">
        <w:rPr>
          <w:i w:val="1"/>
          <w:rtl w:val="0"/>
        </w:rPr>
        <w:t xml:space="preserve">euro</w:t>
      </w:r>
      <w:r w:rsidR="00000000" w:rsidRPr="00000000" w:rsidDel="00000000">
        <w:rPr>
          <w:rtl w:val="0"/>
        </w:rPr>
        <w:t xml:space="preserve"> atbilstoši atbalstam, ko piešķir saskaņā ar Regulu Nr. 2023/2831.</w:t>
      </w:r>
      <w:r w:rsidR="00000000" w:rsidRPr="00000000" w:rsidDel="00000000">
        <w:rPr>
          <w:rtl w:val="0"/>
        </w:rPr>
        <w:t xml:space="preserve">Papildus ar noteikumu projektu tehniski precizēta norma par </w:t>
      </w:r>
      <w:r w:rsidR="00000000" w:rsidRPr="00000000" w:rsidDel="00000000">
        <w:rPr>
          <w:i w:val="1"/>
          <w:rtl w:val="0"/>
        </w:rPr>
        <w:t xml:space="preserve">de minimis</w:t>
      </w:r>
      <w:r w:rsidR="00000000" w:rsidRPr="00000000" w:rsidDel="00000000">
        <w:rPr>
          <w:rtl w:val="0"/>
        </w:rPr>
        <w:t xml:space="preserve"> atbalsta piešķiršanas termiņu, norma par dokumentācijas par </w:t>
      </w:r>
      <w:r w:rsidR="00000000" w:rsidRPr="00000000" w:rsidDel="00000000">
        <w:rPr>
          <w:i w:val="1"/>
          <w:rtl w:val="0"/>
        </w:rPr>
        <w:t xml:space="preserve">de minimis</w:t>
      </w:r>
      <w:r w:rsidR="00000000" w:rsidRPr="00000000" w:rsidDel="00000000">
        <w:rPr>
          <w:rtl w:val="0"/>
        </w:rPr>
        <w:t xml:space="preserve"> atbalsta piešķiršanas glabāšanas termiņu, norma par regulu nozaru un darbības ierobežojumiem un </w:t>
      </w:r>
      <w:r w:rsidR="00000000" w:rsidRPr="00000000" w:rsidDel="00000000">
        <w:rPr>
          <w:i w:val="1"/>
          <w:rtl w:val="0"/>
        </w:rPr>
        <w:t xml:space="preserve">de minimis</w:t>
      </w:r>
      <w:r w:rsidR="00000000" w:rsidRPr="00000000" w:rsidDel="00000000">
        <w:rPr>
          <w:rtl w:val="0"/>
        </w:rPr>
        <w:t xml:space="preserve"> atbalsta viena vienota uzņēmuma līmenī nosacījumiem, norma par projekta ietvaros saņemtā nelikumīgā </w:t>
      </w:r>
      <w:r w:rsidR="00000000" w:rsidRPr="00000000" w:rsidDel="00000000">
        <w:rPr>
          <w:i w:val="1"/>
          <w:rtl w:val="0"/>
        </w:rPr>
        <w:t xml:space="preserve">de minimis</w:t>
      </w:r>
      <w:r w:rsidR="00000000" w:rsidRPr="00000000" w:rsidDel="00000000">
        <w:rPr>
          <w:rtl w:val="0"/>
        </w:rPr>
        <w:t xml:space="preserve"> atbalsta atgūšanu, norma par gadījumu, ja ar saimniecisku darbību nesaistīts projekts ieviešanas gaitā vai projekta pēcuzraudzības periodā kļūst par projektu, kas saistīts ar saimniecisku darbību, norma par nosacījumiem kas noteikumu izpratnē netiek uzskatīta par saimniecisko darbību.</w:t>
      </w:r>
      <w:r w:rsidR="00000000" w:rsidRPr="00000000" w:rsidDel="00000000">
        <w:rPr>
          <w:rtl w:val="0"/>
        </w:rPr>
        <w:t xml:space="preserve">2. </w:t>
      </w:r>
      <w:r w:rsidR="00000000" w:rsidRPr="00000000" w:rsidDel="00000000">
        <w:rPr>
          <w:b w:val="1"/>
          <w:rtl w:val="0"/>
        </w:rPr>
        <w:t xml:space="preserve">Tehniski precizējumi attiecībā uz noteikumos Nr.169 ietverto terminu "dzīvoklis", precizējot to atbilstoši Dzīvokļu īpašuma likuma izpratnei par tajā lietoto terminu  "dzīvokļa īpašums".</w:t>
      </w:r>
      <w:r w:rsidR="00000000" w:rsidRPr="00000000" w:rsidDel="00000000">
        <w:rPr>
          <w:rtl w:val="0"/>
        </w:rPr>
        <w:t xml:space="preserve">Vienlaikus ar </w:t>
      </w:r>
      <w:r w:rsidR="00000000" w:rsidRPr="00000000" w:rsidDel="00000000">
        <w:rPr>
          <w:i w:val="1"/>
          <w:rtl w:val="0"/>
        </w:rPr>
        <w:t xml:space="preserve">de minimis</w:t>
      </w:r>
      <w:r w:rsidR="00000000" w:rsidRPr="00000000" w:rsidDel="00000000">
        <w:rPr>
          <w:rtl w:val="0"/>
        </w:rPr>
        <w:t xml:space="preserve"> atbalsta nosacījumu precizējumiem noteikumu projektā precizēts normās ietvertais termins "dzīvoklis", to piemērojot atbilstoši Dzīvokļu īpašuma likuma izpratnei ietvertajam terminam "dzīvokļa īpašums", kas ietver ne tikai dzīvojamo telpu grupas, bet arī nedzīvojamo telpu grupas dzīvojamā mājā. Precizējumi veikti, lai skaidrāk izteiktu projektu tvērumu (projektus dzīvojamā mājā vai projektus dzīvojamās mājas atsevišķos dzīvokļu īpašumos) un </w:t>
      </w:r>
      <w:r w:rsidR="00000000" w:rsidRPr="00000000" w:rsidDel="00000000">
        <w:rPr>
          <w:i w:val="1"/>
          <w:rtl w:val="0"/>
        </w:rPr>
        <w:t xml:space="preserve">de minimis</w:t>
      </w:r>
      <w:r w:rsidR="00000000" w:rsidRPr="00000000" w:rsidDel="00000000">
        <w:rPr>
          <w:rtl w:val="0"/>
        </w:rPr>
        <w:t xml:space="preserve"> atbalsta piešķiršanas nosacījumus, vienlaikus terminoloģiski salāgotu prasības ar MK noteikumu Nr.169 19., 24., 25. un 43. punktu.</w:t>
      </w:r>
      <w:r w:rsidR="00000000" w:rsidRPr="00000000" w:rsidDel="00000000">
        <w:rPr>
          <w:rtl w:val="0"/>
        </w:rPr>
        <w:t xml:space="preserve">MK noteikumu Nr.169 ietvaros ar terminu "dzīvojamā māja" saprotama gan dzīvokļu īpašumos nesadalīta dzīvojamā māja, gan dzīvokļu īpašumu dzīvojamā māja, pamatojoties uz definīciju, kas iekļauta Dzīvojamo māju pārvaldīšanas likuma 1. panta 1. punktā, proti: “dzīvojamā māja — ēka, kas nodota ekspluatācijā un saskaņā ar kadastrālās uzmērīšanas lietu ir dzīvojamā māja (arī dzīvokļu īpašumu māja), tai piederīgās ēkas (būves), zeme, uz kuras tās atrodas, ja zeme kopā ar dzīvojamo māju veido vienotu nekustamo īpašumu vai ietilpst dzīvojamo māju veidojošo dzīvokļu īpašumu sastāvā, vai ēka, kas nodota ekspluatācijā un saskaņā ar kadastrālās uzmērīšanas lietu ir dzīvojamā māja, tai piederīgās ēkas (būves) un piesaistītais zemesgabals;”. Tāpat MK noteikumu Nr.169 izpratnē ar terminu "dzīvojamās mājas īpašnieks" saprotams gan dzīvokļu īpašumos nesadalītas dzīvojamās mājas īpašnieks, gan dzīvokļu īpašuma īpašnieks dzīvokļu īpašumu dzīvojamā mājā, pamatojoties uz Dzīvojamo māju pārvaldīšanas likuma 1. panta 2. punktu. Attiecīgi MK noteikumos Nr.169. normās un noteikumu projektā, ja dzīvokļa īpašuma īpašniekam netiek izvirzītas specifiskas prasības, tiek lietots kopīgs termins "dzīvojamās mājas īpašnieks". Lai viennozīmīgi noteiktu, ka </w:t>
      </w:r>
      <w:r w:rsidR="00000000" w:rsidRPr="00000000" w:rsidDel="00000000">
        <w:rPr>
          <w:i w:val="1"/>
          <w:rtl w:val="0"/>
        </w:rPr>
        <w:t xml:space="preserve">de minimis</w:t>
      </w:r>
      <w:r w:rsidR="00000000" w:rsidRPr="00000000" w:rsidDel="00000000">
        <w:rPr>
          <w:rtl w:val="0"/>
        </w:rPr>
        <w:t xml:space="preserve"> atbalsts piešķirams tikai tam dzīvojamās mājas īpašniekam (vai dzīvokļa īpašuma īpašniekam), kas dzīvojamā mājā vai dzīvokļa īpašumā veic saimniecisko darbību un pretendē uz atbalstu, kas kvalificējas kā komercdarbības atbalsts, precizēts MK noteikumu Nr.169 29.punkts.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Dzīvojamo māju un dzīvokļu īpašumu īpašnieki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Dzīvojamo māju un dzīvokļu īpašumu īpašnieki, kas pretendē uz de minimis atbalsta saņemšanu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Dzīvojamo māju un dzīvokļu īpašumu īpašnieki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Dzīvojamo māju un dzīvokļu īpašumu īpašnieki, kas pretendē uz de minimis atbalsta saņemšanu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noteikt regulējumu, kas ir atbilstošs izmaiņām starptautiskajos normatīvajos tiesību aktos attiecībā uz </w:t>
      </w:r>
      <w:r w:rsidR="00000000" w:rsidRPr="00000000" w:rsidDel="00000000">
        <w:rPr>
          <w:i w:val="1"/>
          <w:rtl w:val="0"/>
        </w:rPr>
        <w:t xml:space="preserve">de minimis</w:t>
      </w:r>
      <w:r w:rsidR="00000000" w:rsidRPr="00000000" w:rsidDel="00000000">
        <w:rPr>
          <w:rtl w:val="0"/>
        </w:rPr>
        <w:t xml:space="preserve"> atbalsta nosacījumiem. Ar noteikumu projektu netiek skarts valsts un pašvaldību budžets.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32023R2831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2023. gada 13. decembra Regula (ES) Nr. 2023/2831 par Līguma par Eiropas Savienības darbību 107. un 108. panta piemērošanu de minimis atbalstam (ES Oficiālais Vēstnesis, 2023. gada 15. decembris, Serija L)</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2023. gada 13. decembra Regula (ES) Nr. 2023/2831 par Līguma par Eiropas Savienības darbību 107. un 108. panta piemērošanu de minimis atbalstam (ES Oficiālais Vēstnesis, 2023. gada 15. decembris, Serija L)</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1.panta 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32.2.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2.panta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32.3.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3.panta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32.1. un 32.3.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3.panta 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33.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panta 1., 2. un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34.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Paredz stingrākas prasības. Ņemot vērā, ka noteikumu projekta mērķis nav atbalstīt saimniecisko darbību un, lai neradītu papildu administratīvo slogu, atbalsta kumulācija netiek paredzēta.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35.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37.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36.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2009. gada 25. augusta noteikumu Nr.970 “Sabiedrības līdzdalības kārtība attīstības plānošanas procesā” 5. punktu institūcija piemēro sabiedrības līdzdalības kārtību to tiesību aktu projektu izstrādē, kas būtiski maina esošo regulējumu vai paredz ieviest jaunas politiskās iniciatīvas. Noteikumu projekta mērķis ir noteikt regulējumu, kas ir atbilstošs izmaiņām Eiropas Komisijas tiesību aktos attiecībā uz </w:t>
      </w:r>
      <w:r w:rsidR="00000000" w:rsidRPr="00000000" w:rsidDel="00000000">
        <w:rPr>
          <w:i w:val="1"/>
          <w:rtl w:val="0"/>
        </w:rPr>
        <w:t xml:space="preserve">de minimis</w:t>
      </w:r>
      <w:r w:rsidR="00000000" w:rsidRPr="00000000" w:rsidDel="00000000">
        <w:rPr>
          <w:rtl w:val="0"/>
        </w:rPr>
        <w:t xml:space="preserve"> atbalsta nosacījumiem. Normatīvo aktu projektu izskatīšanai Ministru kabinetā paredzēts virzīti steidzamības kārtībā. Noteikumu projekts būtiski nemaina esošo regulējumu un neparedz ieviest jaunas politiskās iniciatīvas, publisko apspriedi nav nepieciešams nodrošināt.</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finanšu un līgumu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24-TA-107</w:t>
    </w:r>
    <w:r>
      <w:br/>
    </w:r>
    <w:r w:rsidR="00000000" w:rsidRPr="00000000" w:rsidDel="00000000">
      <w:rPr>
        <w:rtl w:val="0"/>
      </w:rPr>
      <w:t xml:space="preserve">Izdrukāts 29.07.2026. 22.05 - 3.0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24-TA-107</w:t>
    </w:r>
    <w:r>
      <w:br/>
    </w:r>
    <w:r w:rsidR="00000000" w:rsidRPr="00000000" w:rsidDel="00000000">
      <w:rPr>
        <w:rtl w:val="0"/>
      </w:rPr>
      <w:t xml:space="preserve">Izdrukāts 29.07.2026. 22.05 - 3.0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anotācija_(ex_ante)_24-TA-107.docx</dc:title>
</cp:coreProperties>
</file>

<file path=docProps/custom.xml><?xml version="1.0" encoding="utf-8"?>
<Properties xmlns="http://schemas.openxmlformats.org/officeDocument/2006/custom-properties" xmlns:vt="http://schemas.openxmlformats.org/officeDocument/2006/docPropsVTypes"/>
</file>