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579 "Valsts un Eiropas Savienības atbalsta piešķiršanas kārtība Eiropas Jūrlietu, zvejniecības un akvakultūras fonda pasākumam "Sabiedrības virzītas vietējās attīstības stratēģiju īstenošana"""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oktobra noteikumos Nr. 579 "Valsts un Eiropas Savienības atbalsta piešķiršanas kārtība Eiropas Jūrlietu, zvejniecības un akvakultūras fonda pasākumam "Sabiedrības virzītas vietējās attīstības stratēģiju īstenošana""" (turpmāk – noteikumu projekts) ir sagatavots, pamatojoties uz Lauksaimniecības un lauku attīstības likuma 5. panta ceturto un septīto daļu. Noteikumu projekts paredz grozījumus Ministru kabineta 2023. gada 10. oktobra noteikumos Nr. 579 "Valsts un Eiropas Savienības atbalsta piešķiršanas kārtība Eiropas Jūrlietu, zvejniecības un akvakultūras fonda pasākumam "Sabiedrības virzītas vietējās attīstības stratēģiju īstenošana"" (turpmāk – noteikumos Nr. 579), lai noteiktu kārtību, kādā piešķir valsts un Eiropas Savienības atbalstu Eiropas Jūrlietu, zvejniecības un akvakultūras fonda (turpmāk – EJZAF) darbības veidam "Sabiedrības virzītas vietējās attīstības stratēģiju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 noteiktu kārtību, kādā piešķir valsts un Eiropas Savienības atbalstu Eiropas Jūrlietu, zvejniecības un akvakultūras fonda (turpmāk – EJZAF) darbības veidam "Sabiedrības virzītas vietējās attīstības stratēģiju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pieņemts lēmums par visu sešu piekrastes vietējo rīcības grupu izstrādāto sabiedrības virzītas vietējās attīstības stratēģiju 2023.–2027. gadam apstiprināšanu un atbalsta piešķiršanu vietējās attīstības stratēģijas īstenošanai, un vietējās rīcības grupas var sākt izsludināt projektu iesniegumu pieņemšanas 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saņemtos jautājumus no vietējo rīcības grupu pārstāvjiem un potenciālajiem atbalsta pretendentiem par noteikumu Nr. 579 nosacījumiem, noteikumu projektā izdarīti vairāki tehniski grozījumi, kas precizē atbalsta saņemšanas un īstenošanas nosacījumus, iesniedzamos dokumentus un attiecināmās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tehniski precizēts noteikumu Nr. 579 8.2. apakšpunkta nosacījums par to, ka  pretendenta juridiskā adrese vai struktūrvienības darbības vieta, vai deklarētā dzīvesvieta ir vietējās attīstības stratēģijas īstenošanas teritorijā gan pirms projekta iesnieguma iesniegšanas, gan projekta īstenošanas laikā, gan noteikumu 45. punktā noteiktajā uzraudzības periodā, ja projektā ir paredzēts iegādāties noteikumu 24.11. apakšpunktā minēto transportlīdzekli vai plānota noteikumu 18.4. apakšpunktā minēto digitālo risinājumu vai pakalpojumu izveide vai noteikumu 18.5. apakšpunktā minētie ar preces vai pakalpojuma publicitāti saistīti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noteikumu Nr. 579 8.7. apakšpunktā minētais publiskā finansējuma saņemšanas nosacījums par saimnieciskās darbības ekonomiskās dzīvotspējas un spējas īstenot projektu un sasniegt projekta mērķi apliecināšanu ar projektam pievienoto finanšu plānu, paredzot, ka iesniegtā finanšu informācija pierāda saimnieciskās darbības veicēja ekonomisko dzīvotspēju, kā arī pamato ieguldījumu saistību ar sasniedzamajiem rādītājiem. Ekonomisko dzīvotspēju apliecina pozitīvs ieņēmumu un izdevumu kopsavilkums rādītāja sasniegšanas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579 8.8. apakšpunkts papildināts ar nosacījumu, ka uz atbalsta pretendentu, kas īsteno sabiedriskā labuma projektu, neattiecas prasība par to, ka uz atbalsta pretendentu nedrīkst attiekties neviena no grūtībās nonākuša saimnieciskā darbības veicēja pazīmēm, kas noteiktas normatīvajos aktos par valsts un Eiropas Savienības atbalsta piešķiršanas, administrēšanas un uzraudzības vispārējo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12.2. apakšpunkts papildināts ar nosacījumu, ka 100 % atbalsta intensitāte piemērojama projektam vai tā daļai, kas saistīta ar piekrastes zveju, piekrastes zvejas produktu apstrādi un tirdzniecību, ja atbalsta pretendenta piekrastes zvejniecībā iegūto zvejas produktu īpatsvars pārsniedz 50 procentu. Atruna "ja atbalsta pretendenta piekrastes zvejniecībā iegūto zvejas produktu īpatsvars pārsniedz 50 procentu" attiecas tikai uz apstrādi un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19.</w:t>
      </w:r>
      <w:r w:rsidR="00000000" w:rsidRPr="00000000" w:rsidDel="00000000">
        <w:rPr>
          <w:vertAlign w:val="superscript"/>
          <w:rtl w:val="0"/>
        </w:rPr>
        <w:t xml:space="preserve">1 </w:t>
      </w:r>
      <w:r w:rsidR="00000000" w:rsidRPr="00000000" w:rsidDel="00000000">
        <w:rPr>
          <w:rtl w:val="0"/>
        </w:rPr>
        <w:t xml:space="preserve">punktu, kurā ir noteikts, ka projektam, kura dažādām projekta izmaksu pozīcijām tiek piemērota atšķirīga atbalsta intensitāte, tā iesnieguma sagatavošanas attiecināmajām izmaksām un ar projekta sagatavošanu vai īstenošanu tieši saistītām attiecināmajām izmaksām piemēro atbalsta intensitāti, kas ir attiecināta uz vairāk nekā 50 procentiem no projekta kopējām investīcijām. Tas nozīmē, ka tad, ja projektā ir dalītā likme, tiek vērtēts īpatsvars starp pamata un paaugstinātās intensitātes ieguldījumiem. Ja paaugstinātas intensitātes ieguldījumu ir vairāk nekā 50 procentu, tad arī vispārējām izmaksām piemēro paaugstināto intensitāti, un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noteikumu Nr. 579 24.11.2. apakšpunkta neviennozīmīgu interpretāciju, tika precizēta apakšpunkta redakcija, kurā precīzi norādīts, ka 24.11.2. apakšpunkta uzskaitījumā minētajiem trijiem nosacījumiem ir jāizpildās vienlaikus, un izvēles brīvība dota tikai starp nosacījumu "mobila pakalpojuma sniegšanas vieta" vai "paredzēti zvejas un akvakultūras produkcijas tirdzniecībai vai pārvadāšanai".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tehniski precizēts noteikumu Nr. 579 24.11.5. apakšpunkts, nosakot, ka attiecināmi ir izdevumi par mehāniskajiem transportlīdzekļiem, kuri ir konstruēti un paredzēti ne vairāk kā 16 pasažieru pārvadāšanai, neskaitot vadītāju, un kuru garums nepārsniedz astoņus metrus. Apakšpunkts papildināts ar nosacījumu, ka izdevumi ir attiecināmi ne tikai komersantam, kas nodarbina attiecīgu skaitu strādājošo, bet ne mazāk par trim, bet arī biedrībām un zvejas produktu ražotāju organizācijām, ja to biedri nodarbina kopā vismaz astoņus strādājošos.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precizēts noteikumu Nr. 579 nosacījums par to, ka atbalsta saņēmējs pārskatu par saimnieciskās darbības rādītājiem iepriekšējā kalendāra gadā, tostarp par izvēlēto rādītāju sasniegtajām vērtībām, Lauku atbalsta dienesta Elektroniskās pieteikšanās sistēmā iesniedz jau pirmajā gadā pēc projekta īstenošanas. Tāpat ir precizēts, ka atbalsta saņēmējs, kas īstenojis sabiedriskā labuma projektu, pārskatu par sasniedzamajiem rādītājiem iesniedz tikai pirmajā gadā pēc projekta īstenošanas, kā arī nākamajā gadā pēc projekta pabeigšanas Lauku atbalsta dienestā iesniedzams noslēgts darba līgums par jaunizveidoto darbavietu nozarē, ja bija plānots radīt jaunas darbvietas kā sasniedzamo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tiem projektu iesniegumiem, kas tiks iesniegti projektu pieņemšanas kārtā, kura tiks izsludināta pēc šī noteikumu projekta spēkā stāšanās.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tostarp fiziskām personām, kas veic vai plāno uzsākt saimniecisko darbību vai īsteno sabiedriskā labuma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pašvaldībām, mazajiem un vidējiem uzņēmējiem, nevalstiskajām un reliģiskajām organizācijām, kā arī vietējās rīcības grupām kā vietējās attīstības stratēģijas īstenotājām.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nozares konkurētspēju, jo vietējās attīstības stratēģijas ietvers atbalstu vietējās ekonomikas attīstības un transformācijas veicināšanai, sekmējot uzņēmumu konkurētspēju, izaugsmi un jaunu darbavietu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uzņēmējdarbības vidi, jo vietējās attīstības stratēģijas ietvers atbalstu vietējās ekonomikas attīstības un transformācijas veicināšanai, sekmējot jaunu darbavietu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uzņēmējiem, jo vietējās attīstības stratēģijas ietvers atbalstu vietējās ekonomikas attīstības un transformācijas veicināšanai, sekmējot uzņēmumu konkurētspēju, izaugsmi un jaunu darbavietu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mazo un vidējo uzņēmumu izaugsmi un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zivsaimniecības attīstībai 2021-2027 (PZA 21-27) viens no paredzētajiem rezultātu rādītājiem ir jaunu darbavietu radīšana, ko plānots sasniegt ar sabiedrības virzītas vietējās attīstības stratēģiju īstenošanu; tādējādi atbalsta saņēmēji, radot jaunas darbavietas, veicinās nodarbinātību.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(ES) 2021. gada 24. jūnija Regula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(ES) 2021. gada 24. jūnija Regula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"b" apakšpunkts un 3. punkta "d"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"b" apakšpunkts un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https://vktap.mk.gov.lv/public_participations/public_discussions/047d16c5-064d-42e5-ae70-e0cc7bc5df83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noteiktajā laikā netika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24-TA-318</w:t>
    </w:r>
    <w:r>
      <w:br/>
    </w:r>
    <w:r w:rsidR="00000000" w:rsidRPr="00000000" w:rsidDel="00000000">
      <w:rPr>
        <w:rtl w:val="0"/>
      </w:rPr>
      <w:t xml:space="preserve">Izdrukāts 29.07.2026. 22.01 - 5.0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24-TA-318</w:t>
    </w:r>
    <w:r>
      <w:br/>
    </w:r>
    <w:r w:rsidR="00000000" w:rsidRPr="00000000" w:rsidDel="00000000">
      <w:rPr>
        <w:rtl w:val="0"/>
      </w:rPr>
      <w:t xml:space="preserve">Izdrukāts 29.07.2026. 22.01 - 5.0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anotācija_(ex_ante)_24-TA-318.docx</dc:title>
</cp:coreProperties>
</file>

<file path=docProps/custom.xml><?xml version="1.0" encoding="utf-8"?>
<Properties xmlns="http://schemas.openxmlformats.org/officeDocument/2006/custom-properties" xmlns:vt="http://schemas.openxmlformats.org/officeDocument/2006/docPropsVTypes"/>
</file>