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DE866" w14:textId="6A52363A" w:rsidR="001D61C9" w:rsidRPr="002E58CA" w:rsidRDefault="00C91820" w:rsidP="002E58CA">
      <w:pPr>
        <w:spacing w:after="0" w:line="240" w:lineRule="auto"/>
        <w:ind w:left="57" w:right="57"/>
        <w:jc w:val="right"/>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2</w:t>
      </w:r>
      <w:r w:rsidR="001D61C9" w:rsidRPr="002E58CA">
        <w:rPr>
          <w:rFonts w:ascii="Times New Roman" w:eastAsia="Times New Roman" w:hAnsi="Times New Roman" w:cs="Times New Roman"/>
          <w:sz w:val="24"/>
          <w:szCs w:val="24"/>
          <w:lang w:eastAsia="lv-LV"/>
        </w:rPr>
        <w:t>.pielikums </w:t>
      </w:r>
    </w:p>
    <w:p w14:paraId="6FC6C4EB" w14:textId="26A1DEC7" w:rsidR="00D47115" w:rsidRDefault="00712AE6" w:rsidP="002E58CA">
      <w:pPr>
        <w:spacing w:after="0" w:line="240" w:lineRule="auto"/>
        <w:ind w:left="57" w:right="57"/>
        <w:jc w:val="right"/>
        <w:rPr>
          <w:rFonts w:ascii="Times New Roman" w:hAnsi="Times New Roman" w:cs="Times New Roman"/>
          <w:color w:val="000000"/>
          <w:sz w:val="24"/>
          <w:szCs w:val="24"/>
          <w:lang w:eastAsia="lv-LV"/>
        </w:rPr>
      </w:pPr>
      <w:r w:rsidRPr="002E58CA">
        <w:rPr>
          <w:rFonts w:ascii="Times New Roman" w:hAnsi="Times New Roman" w:cs="Times New Roman"/>
          <w:color w:val="000000"/>
          <w:sz w:val="24"/>
          <w:szCs w:val="24"/>
          <w:lang w:eastAsia="lv-LV"/>
        </w:rPr>
        <w:t xml:space="preserve"> Ministru kabineta </w:t>
      </w:r>
    </w:p>
    <w:p w14:paraId="04275E91" w14:textId="2AEC2EC4" w:rsidR="00D47115" w:rsidRDefault="00712AE6" w:rsidP="002E58CA">
      <w:pPr>
        <w:spacing w:after="0" w:line="240" w:lineRule="auto"/>
        <w:ind w:left="57" w:right="57"/>
        <w:jc w:val="right"/>
        <w:rPr>
          <w:rFonts w:ascii="Times New Roman" w:hAnsi="Times New Roman" w:cs="Times New Roman"/>
          <w:color w:val="000000"/>
          <w:sz w:val="24"/>
          <w:szCs w:val="24"/>
          <w:lang w:eastAsia="lv-LV"/>
        </w:rPr>
      </w:pPr>
      <w:proofErr w:type="gramStart"/>
      <w:r w:rsidRPr="002E58CA">
        <w:rPr>
          <w:rFonts w:ascii="Times New Roman" w:hAnsi="Times New Roman" w:cs="Times New Roman"/>
          <w:color w:val="000000"/>
          <w:sz w:val="24"/>
          <w:szCs w:val="24"/>
          <w:lang w:eastAsia="lv-LV"/>
        </w:rPr>
        <w:t>2022.gada</w:t>
      </w:r>
      <w:proofErr w:type="gramEnd"/>
      <w:r w:rsidRPr="002E58CA">
        <w:rPr>
          <w:rFonts w:ascii="Times New Roman" w:hAnsi="Times New Roman" w:cs="Times New Roman"/>
          <w:color w:val="000000"/>
          <w:sz w:val="24"/>
          <w:szCs w:val="24"/>
          <w:lang w:eastAsia="lv-LV"/>
        </w:rPr>
        <w:t xml:space="preserve"> ___.____________</w:t>
      </w:r>
    </w:p>
    <w:p w14:paraId="631823A5" w14:textId="41CAF111" w:rsidR="00D47115" w:rsidRDefault="00712AE6" w:rsidP="002E58CA">
      <w:pPr>
        <w:spacing w:after="0" w:line="240" w:lineRule="auto"/>
        <w:ind w:left="57" w:right="57"/>
        <w:jc w:val="right"/>
        <w:rPr>
          <w:rFonts w:ascii="Times New Roman" w:hAnsi="Times New Roman" w:cs="Times New Roman"/>
          <w:color w:val="000000"/>
          <w:sz w:val="24"/>
          <w:szCs w:val="24"/>
          <w:lang w:eastAsia="lv-LV"/>
        </w:rPr>
      </w:pPr>
      <w:r w:rsidRPr="002E58CA">
        <w:rPr>
          <w:rFonts w:ascii="Times New Roman" w:hAnsi="Times New Roman" w:cs="Times New Roman"/>
          <w:color w:val="000000"/>
          <w:sz w:val="24"/>
          <w:szCs w:val="24"/>
          <w:lang w:eastAsia="lv-LV"/>
        </w:rPr>
        <w:t xml:space="preserve">rīkojuma Nr. _________ </w:t>
      </w:r>
    </w:p>
    <w:p w14:paraId="4ECA727B" w14:textId="08EF6591" w:rsidR="00B945D1" w:rsidRPr="002E58CA" w:rsidRDefault="00712AE6" w:rsidP="002E58CA">
      <w:pPr>
        <w:spacing w:after="0" w:line="240" w:lineRule="auto"/>
        <w:ind w:left="57" w:right="57"/>
        <w:jc w:val="right"/>
        <w:rPr>
          <w:rFonts w:ascii="Times New Roman" w:hAnsi="Times New Roman" w:cs="Times New Roman"/>
          <w:sz w:val="24"/>
          <w:szCs w:val="24"/>
        </w:rPr>
      </w:pPr>
      <w:r w:rsidRPr="002E58CA">
        <w:rPr>
          <w:rFonts w:ascii="Times New Roman" w:hAnsi="Times New Roman" w:cs="Times New Roman"/>
          <w:color w:val="000000"/>
          <w:sz w:val="24"/>
          <w:szCs w:val="24"/>
          <w:lang w:eastAsia="lv-LV"/>
        </w:rPr>
        <w:t>projekta anotācijai</w:t>
      </w:r>
    </w:p>
    <w:p w14:paraId="40DFA1A6" w14:textId="77777777" w:rsidR="001D61C9" w:rsidRPr="002E58CA" w:rsidRDefault="001D61C9" w:rsidP="002E58CA">
      <w:pPr>
        <w:spacing w:after="0" w:line="240" w:lineRule="auto"/>
        <w:ind w:left="57" w:right="57"/>
        <w:jc w:val="center"/>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w:t>
      </w:r>
    </w:p>
    <w:p w14:paraId="609298A8" w14:textId="77777777" w:rsidR="002E58CA" w:rsidRDefault="00202DB9" w:rsidP="002E58CA">
      <w:pPr>
        <w:spacing w:after="0" w:line="240" w:lineRule="auto"/>
        <w:ind w:left="57" w:right="57"/>
        <w:jc w:val="center"/>
        <w:textAlignment w:val="baseline"/>
        <w:rPr>
          <w:rFonts w:ascii="Times New Roman" w:eastAsia="Times New Roman" w:hAnsi="Times New Roman" w:cs="Times New Roman"/>
          <w:b/>
          <w:bCs/>
          <w:sz w:val="24"/>
          <w:szCs w:val="24"/>
          <w:lang w:eastAsia="lv-LV"/>
        </w:rPr>
      </w:pPr>
      <w:r w:rsidRPr="002E58CA">
        <w:rPr>
          <w:rFonts w:ascii="Times New Roman" w:eastAsia="Times New Roman" w:hAnsi="Times New Roman" w:cs="Times New Roman"/>
          <w:b/>
          <w:bCs/>
          <w:sz w:val="24"/>
          <w:szCs w:val="24"/>
          <w:lang w:eastAsia="lv-LV"/>
        </w:rPr>
        <w:t xml:space="preserve">Valsts sabiedrības ar ierobežotu atbildību „Latvijas Nacionālais teātris” </w:t>
      </w:r>
    </w:p>
    <w:p w14:paraId="782D1154" w14:textId="0527BD37" w:rsidR="00202DB9" w:rsidRPr="002E58CA" w:rsidRDefault="00202DB9" w:rsidP="002E58CA">
      <w:pPr>
        <w:spacing w:after="0" w:line="240" w:lineRule="auto"/>
        <w:ind w:left="57" w:right="57"/>
        <w:jc w:val="center"/>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ekonomiskais izvērtējums</w:t>
      </w:r>
      <w:r w:rsidRPr="002E58CA">
        <w:rPr>
          <w:rFonts w:ascii="Times New Roman" w:eastAsia="Times New Roman" w:hAnsi="Times New Roman" w:cs="Times New Roman"/>
          <w:sz w:val="24"/>
          <w:szCs w:val="24"/>
          <w:lang w:eastAsia="lv-LV"/>
        </w:rPr>
        <w:t> </w:t>
      </w:r>
    </w:p>
    <w:p w14:paraId="73FEB81A" w14:textId="77777777" w:rsidR="00202DB9" w:rsidRPr="002E58CA" w:rsidRDefault="00202DB9" w:rsidP="002E58CA">
      <w:pPr>
        <w:spacing w:after="0" w:line="240" w:lineRule="auto"/>
        <w:ind w:left="57" w:right="57"/>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810"/>
      </w:tblGrid>
      <w:tr w:rsidR="00202DB9" w:rsidRPr="002E58CA" w14:paraId="14851EA4"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0DE9AF91"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Konkurences padomes noteiktie izvērtējamie jautājumi</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900F35D"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Izvērtējums attiecībā uz kapitālsabiedrības darbību</w:t>
            </w:r>
            <w:r w:rsidRPr="002E58CA">
              <w:rPr>
                <w:rFonts w:ascii="Times New Roman" w:eastAsia="Times New Roman" w:hAnsi="Times New Roman" w:cs="Times New Roman"/>
                <w:sz w:val="24"/>
                <w:szCs w:val="24"/>
                <w:lang w:eastAsia="lv-LV"/>
              </w:rPr>
              <w:t> </w:t>
            </w:r>
          </w:p>
        </w:tc>
      </w:tr>
      <w:tr w:rsidR="00202DB9" w:rsidRPr="002E58CA" w14:paraId="6434B8A2"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51F5239D"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Kas ir konkrētā pakalpojuma saņēmēji un kādas vajadzības tiek apmierinātas. Kāds un cik būtisks ieguvums patērētājiem. Kurām patērētāju grupām ieguvums ir visaugstākais.</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464140E" w14:textId="02478690"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VSIA „Latvijas Nacionālais teātris” (turpmāk – LNT) darbība, īstenojot tam deleģētos valsts pārvaldes uzdevumus, ir vērsta uz latviešu oriģināldramaturģijas attīstību un jaunu nacionālo vērtību radīšanu teātra mākslas jomā, izmantojot nacionālo un pasaules kultūras mantojumu. LNT fokuss uz nacionālās dramaturģijas un skatuves mākslas attīstību tiešā veidā sasaucas ar Saliedētas un pilsoniski aktīvas sabiedrības pamatnostādnēm 2021.</w:t>
            </w:r>
            <w:r w:rsidR="00D4414D">
              <w:rPr>
                <w:rFonts w:ascii="Times New Roman" w:eastAsia="Times New Roman" w:hAnsi="Times New Roman" w:cs="Times New Roman"/>
                <w:sz w:val="24"/>
                <w:szCs w:val="24"/>
                <w:lang w:eastAsia="lv-LV"/>
              </w:rPr>
              <w:t>-</w:t>
            </w:r>
            <w:proofErr w:type="gramStart"/>
            <w:r w:rsidRPr="002E58CA">
              <w:rPr>
                <w:rFonts w:ascii="Times New Roman" w:eastAsia="Times New Roman" w:hAnsi="Times New Roman" w:cs="Times New Roman"/>
                <w:sz w:val="24"/>
                <w:szCs w:val="24"/>
                <w:lang w:eastAsia="lv-LV"/>
              </w:rPr>
              <w:t>2027.gadam</w:t>
            </w:r>
            <w:proofErr w:type="gramEnd"/>
            <w:r w:rsidR="00E249DE">
              <w:rPr>
                <w:rFonts w:ascii="Times New Roman" w:eastAsia="Times New Roman" w:hAnsi="Times New Roman" w:cs="Times New Roman"/>
                <w:sz w:val="24"/>
                <w:szCs w:val="24"/>
                <w:lang w:eastAsia="lv-LV"/>
              </w:rPr>
              <w:t xml:space="preserve"> (apstiprinātas ar Ministru kabineta 2021.gada </w:t>
            </w:r>
            <w:r w:rsidR="007C308B">
              <w:rPr>
                <w:rFonts w:ascii="Times New Roman" w:eastAsia="Times New Roman" w:hAnsi="Times New Roman" w:cs="Times New Roman"/>
                <w:sz w:val="24"/>
                <w:szCs w:val="24"/>
                <w:lang w:eastAsia="lv-LV"/>
              </w:rPr>
              <w:t xml:space="preserve">5.februāra </w:t>
            </w:r>
            <w:r w:rsidR="00E249DE">
              <w:rPr>
                <w:rFonts w:ascii="Times New Roman" w:eastAsia="Times New Roman" w:hAnsi="Times New Roman" w:cs="Times New Roman"/>
                <w:sz w:val="24"/>
                <w:szCs w:val="24"/>
                <w:lang w:eastAsia="lv-LV"/>
              </w:rPr>
              <w:t>rīkojumu Nr.72)</w:t>
            </w:r>
            <w:r w:rsidRPr="002E58CA">
              <w:rPr>
                <w:rFonts w:ascii="Times New Roman" w:eastAsia="Times New Roman" w:hAnsi="Times New Roman" w:cs="Times New Roman"/>
                <w:sz w:val="24"/>
                <w:szCs w:val="24"/>
                <w:lang w:eastAsia="lv-LV"/>
              </w:rPr>
              <w:t>, kurās latviešu valodas un kultūrtelpas saglabāšana un nostiprināšana ir izcelta kā Latvijas ilgtermiņa attīstības prioritāte. </w:t>
            </w:r>
          </w:p>
          <w:p w14:paraId="4E6224A4" w14:textId="1F059AA5"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LNT aktīvajā repertuārā ik gadu ir vismaz 56 dažādu izrāžu nosaukumi, no kuriem pusi </w:t>
            </w:r>
            <w:r w:rsidR="00925E6C">
              <w:rPr>
                <w:rFonts w:ascii="Times New Roman" w:eastAsia="Times New Roman" w:hAnsi="Times New Roman" w:cs="Times New Roman"/>
                <w:sz w:val="24"/>
                <w:szCs w:val="24"/>
                <w:lang w:eastAsia="lv-LV"/>
              </w:rPr>
              <w:t>veido</w:t>
            </w:r>
            <w:r w:rsidR="00925E6C" w:rsidRPr="002E58CA">
              <w:rPr>
                <w:rFonts w:ascii="Times New Roman" w:eastAsia="Times New Roman" w:hAnsi="Times New Roman" w:cs="Times New Roman"/>
                <w:sz w:val="24"/>
                <w:szCs w:val="24"/>
                <w:lang w:eastAsia="lv-LV"/>
              </w:rPr>
              <w:t xml:space="preserve"> </w:t>
            </w:r>
            <w:r w:rsidRPr="002E58CA">
              <w:rPr>
                <w:rFonts w:ascii="Times New Roman" w:eastAsia="Times New Roman" w:hAnsi="Times New Roman" w:cs="Times New Roman"/>
                <w:sz w:val="24"/>
                <w:szCs w:val="24"/>
                <w:lang w:eastAsia="lv-LV"/>
              </w:rPr>
              <w:t>oriģināldramaturģijas darbi. Katru gadu LNT skatītājiem nospēlē vidēji 870 izrādes. Diferencētā biļešu cenu politika ļauj LNT izrādes baudīt visiem interesentiem, tā nodrošinot profesionālās teātra mākslas pieejamību visplašākajam skatītāju lokam. Ik gadu LNT apmeklē līdz 170 000 skatītāju, kas ir lielākais vienā teātrī apkalpoto skatītāju skaits gada laikā.  </w:t>
            </w:r>
          </w:p>
          <w:p w14:paraId="26249354"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Covid-19 pandēmijas apstākļos, lai nodrošinātu kultūras pieejamības nepārtrauktību, LNT spēja operatīvi pārorientēt savu darbību, piedāvājot skatītājiem digitālās izrādes, ko kopumā noskatījušies 5 282 skatītāji. </w:t>
            </w:r>
          </w:p>
        </w:tc>
      </w:tr>
      <w:tr w:rsidR="00202DB9" w:rsidRPr="002E58CA" w14:paraId="61AE4C47" w14:textId="77777777" w:rsidTr="00357D6A">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2F59A634" w14:textId="642691CF" w:rsidR="00202DB9" w:rsidRPr="002E58CA" w:rsidRDefault="00202DB9" w:rsidP="00357D6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Pakalpojuma tirgus.</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D49E432" w14:textId="36B49C60"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Kopējā pakalpojumu tirgū LNT izceļas ar fokusu uz latviešu oriģināldramaturģijas attīstību un jaunu nacionālo vērtību radīšanu, tādēļ teātris katru sezonu uzsāk ar kāda latviešu autora darba jauniestudējumu. LNT ir ļoti nozīmīga loma latviešu valodas un latviskās kultūrtelpas stiprināšanā, kas ir pamats nacionālās un valstiskās piederības veidošanā. Par teātra sabiedrisko nepieciešamību un ilgtspēju liecina </w:t>
            </w:r>
            <w:r w:rsidRPr="002E58CA">
              <w:rPr>
                <w:rFonts w:ascii="Times New Roman" w:eastAsia="Times New Roman" w:hAnsi="Times New Roman" w:cs="Times New Roman"/>
                <w:sz w:val="24"/>
                <w:szCs w:val="24"/>
                <w:lang w:eastAsia="lv-LV"/>
              </w:rPr>
              <w:lastRenderedPageBreak/>
              <w:t xml:space="preserve">103 gadu nepārtrauktā darbība, uzrādot augstus mākslinieciskos rezultātus. LNT ir trīs spēles laukumi – Lielā zāle (709 skatītāju vietas), Aktieru zāle (atkarībā no izrādes 70 – 90 skatītāju vietas) un LMT Jaunā zāle (atkarībā no izrādes 80 – 120 skatītāju vietas) – kas ļauj tam veidot </w:t>
            </w:r>
            <w:r w:rsidR="00C23326" w:rsidRPr="002E58CA">
              <w:rPr>
                <w:rFonts w:ascii="Times New Roman" w:eastAsia="Times New Roman" w:hAnsi="Times New Roman" w:cs="Times New Roman"/>
                <w:sz w:val="24"/>
                <w:szCs w:val="24"/>
                <w:lang w:eastAsia="lv-LV"/>
              </w:rPr>
              <w:t>dažād</w:t>
            </w:r>
            <w:r w:rsidR="00C23326">
              <w:rPr>
                <w:rFonts w:ascii="Times New Roman" w:eastAsia="Times New Roman" w:hAnsi="Times New Roman" w:cs="Times New Roman"/>
                <w:sz w:val="24"/>
                <w:szCs w:val="24"/>
                <w:lang w:eastAsia="lv-LV"/>
              </w:rPr>
              <w:t>u</w:t>
            </w:r>
            <w:r w:rsidR="00C23326" w:rsidRPr="002E58CA">
              <w:rPr>
                <w:rFonts w:ascii="Times New Roman" w:eastAsia="Times New Roman" w:hAnsi="Times New Roman" w:cs="Times New Roman"/>
                <w:sz w:val="24"/>
                <w:szCs w:val="24"/>
                <w:lang w:eastAsia="lv-LV"/>
              </w:rPr>
              <w:t xml:space="preserve"> </w:t>
            </w:r>
            <w:r w:rsidRPr="002E58CA">
              <w:rPr>
                <w:rFonts w:ascii="Times New Roman" w:eastAsia="Times New Roman" w:hAnsi="Times New Roman" w:cs="Times New Roman"/>
                <w:sz w:val="24"/>
                <w:szCs w:val="24"/>
                <w:lang w:eastAsia="lv-LV"/>
              </w:rPr>
              <w:t>formu un žanru iestudējumus. </w:t>
            </w:r>
          </w:p>
          <w:p w14:paraId="36C41AB2"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Vietējā pakalpojumu tirgū (ar to saprotot Rīgu un Rīgas reģionu) regulāru darbību veic četras valsts kapitālsabiedrības, no kurām divas – VSIA „Dailes teātris” un VSIA „Jaunais Rīgas teātris” – piedāvā formas un žanru ziņā līdzvērtīgu repertuāru. Visām šīm organizācijām ir pieejami vairāki spēles laukumi ar dažādu skatītāju ietilpību, kas dod iespēju veidot gan lielformāta izrādes, gan </w:t>
            </w:r>
            <w:proofErr w:type="spellStart"/>
            <w:r w:rsidRPr="002E58CA">
              <w:rPr>
                <w:rFonts w:ascii="Times New Roman" w:eastAsia="Times New Roman" w:hAnsi="Times New Roman" w:cs="Times New Roman"/>
                <w:sz w:val="24"/>
                <w:szCs w:val="24"/>
                <w:lang w:eastAsia="lv-LV"/>
              </w:rPr>
              <w:t>kameriestudējumus</w:t>
            </w:r>
            <w:proofErr w:type="spellEnd"/>
            <w:r w:rsidRPr="002E58CA">
              <w:rPr>
                <w:rFonts w:ascii="Times New Roman" w:eastAsia="Times New Roman" w:hAnsi="Times New Roman" w:cs="Times New Roman"/>
                <w:sz w:val="24"/>
                <w:szCs w:val="24"/>
                <w:lang w:eastAsia="lv-LV"/>
              </w:rPr>
              <w:t>. </w:t>
            </w:r>
          </w:p>
          <w:p w14:paraId="1C40F1E9"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Līdzās lielajiem valsts teātriem Rīgā ļoti aktīvi darbojas nevalstiskie teātri, kas pārsvarā skatītājiem piedāvā mazās formas iestudējumus. Tiešākais LNT konkurents šajā grupā ir Dirty Deal Teatro, kas savu </w:t>
            </w:r>
            <w:proofErr w:type="spellStart"/>
            <w:r w:rsidRPr="002E58CA">
              <w:rPr>
                <w:rFonts w:ascii="Times New Roman" w:eastAsia="Times New Roman" w:hAnsi="Times New Roman" w:cs="Times New Roman"/>
                <w:sz w:val="24"/>
                <w:szCs w:val="24"/>
                <w:lang w:eastAsia="lv-LV"/>
              </w:rPr>
              <w:t>repertuārpolitiku</w:t>
            </w:r>
            <w:proofErr w:type="spellEnd"/>
            <w:r w:rsidRPr="002E58CA">
              <w:rPr>
                <w:rFonts w:ascii="Times New Roman" w:eastAsia="Times New Roman" w:hAnsi="Times New Roman" w:cs="Times New Roman"/>
                <w:sz w:val="24"/>
                <w:szCs w:val="24"/>
                <w:lang w:eastAsia="lv-LV"/>
              </w:rPr>
              <w:t xml:space="preserve"> veido uz oriģināldramaturģijas iestudējumiem. Taču nevalstisko teātru darbība mēdz būt neregulāra, jo ir atkarīga no privāto kompāniju spējas piesaistīt izrādei nepieciešamo finansējumu un cilvēkresursus. Šo kompāniju izvēlētie spēles laukumi ir ar visai mazu skatītāju ietilpību, kas nozīmē ierobežotas pakalpojuma saņemšanas iespējas publikai. </w:t>
            </w:r>
          </w:p>
          <w:p w14:paraId="028D49EB" w14:textId="2A660EE4"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Vietējo pakalpojumu tirgu veido arī viesizrāžu piedāvājums, ko nodrošina gan Latvijas reģionālie teātri, gan ārvalstu kompānijas. Minēt</w:t>
            </w:r>
            <w:r w:rsidR="000F7641">
              <w:rPr>
                <w:rFonts w:ascii="Times New Roman" w:eastAsia="Times New Roman" w:hAnsi="Times New Roman" w:cs="Times New Roman"/>
                <w:sz w:val="24"/>
                <w:szCs w:val="24"/>
                <w:lang w:eastAsia="lv-LV"/>
              </w:rPr>
              <w:t>ai</w:t>
            </w:r>
            <w:r w:rsidRPr="002E58CA">
              <w:rPr>
                <w:rFonts w:ascii="Times New Roman" w:eastAsia="Times New Roman" w:hAnsi="Times New Roman" w:cs="Times New Roman"/>
                <w:sz w:val="24"/>
                <w:szCs w:val="24"/>
                <w:lang w:eastAsia="lv-LV"/>
              </w:rPr>
              <w:t>s piedāvājums ir visai neregulārs, tādēļ nevar tik uzskatīts par pietiekamu iedzīvotāju kultūras patēriņa nodrošinājumu.  </w:t>
            </w:r>
          </w:p>
          <w:p w14:paraId="015980C9"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Kopumā secināms, ka vietējais pakalpojumu tirgus ir ļoti piesātināts, kas paaugstina konkurenci un labvēlīgi ietekmē produktu attīstību, veicinot to kvalitātes celšanos. Lielā piedāvājuma dažādība skatītājiem ļauj izvēlēties viņu interesēm un kultūras patēriņa vajadzībām atbilstošu produktu. </w:t>
            </w:r>
          </w:p>
        </w:tc>
      </w:tr>
      <w:tr w:rsidR="00202DB9" w:rsidRPr="002E58CA" w14:paraId="05CB4F08"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76B12589"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lastRenderedPageBreak/>
              <w:t>Vai pastāv kādi šķēršļi, kas liegtu konkrēto pakalpojumu iepirkt no privātajiem tirgus dalībniekiem.</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4F9FF7F" w14:textId="28561400"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Ņemot vērā minēto situāciju pakalpojuma tirgū, nevalstiskās teātra kompānijas šobrīd nespētu nodrošināt nepieciešamo teātra piedāvājuma daudzveidību un regularitāti. Nevienam no tirgus dalībniekiem nav līdzvērtīgu resursu un kapacitātes, lai nacionālās vērtības teātra mākslā radītu ar tādu vērienu. Iepērkot šo pakalpojumu no privātajiem tirgus dalībniekiem, varētu </w:t>
            </w:r>
            <w:r w:rsidRPr="002E58CA">
              <w:rPr>
                <w:rFonts w:ascii="Times New Roman" w:eastAsia="Times New Roman" w:hAnsi="Times New Roman" w:cs="Times New Roman"/>
                <w:sz w:val="24"/>
                <w:szCs w:val="24"/>
                <w:lang w:eastAsia="lv-LV"/>
              </w:rPr>
              <w:lastRenderedPageBreak/>
              <w:t>mazināties auditorijas pieejamības iespējas, kas savukārt samazinātu latviskās kultūrtelpas īpatsvaru un ietekmi sabiedrībā.  </w:t>
            </w:r>
          </w:p>
        </w:tc>
      </w:tr>
      <w:tr w:rsidR="00202DB9" w:rsidRPr="002E58CA" w14:paraId="3C469552"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63A3999B"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lastRenderedPageBreak/>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648B5E3" w14:textId="7939EBDD" w:rsidR="00202DB9" w:rsidRPr="002E58CA" w:rsidRDefault="00202DB9" w:rsidP="00357D6A">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Latvijā dominējošais teātra modelis paredz mākslinieciskās darbības nodrošinājumu pastāvīgos spēles laukumos, kas nozīmē, ka teātra kolektīvs un tā apsaimniekotā ēka ir uztverams kā vienots veselums. Atbilstoši tirgus datiem šis ir uzskatāms arī par veiksmīgāko un ekonomiski izdevīgāko darbības modeli, jo vairums izrāžu Latvijā (497 no 668) iestudējuši teātri, kuriem ir savas telpas. No resursu apguves viedokļa teātri ar vairākiem vienā ēkā izvietotiem spēles laukumiem vai aktieru ansambļiem spēj labāk saplānot māksliniecisko darbību, veidojot vienmērīgu darbinieku noslodzi. LNT rīcībā šobrīd ir </w:t>
            </w:r>
            <w:r w:rsidR="00F804E9">
              <w:rPr>
                <w:rFonts w:ascii="Times New Roman" w:eastAsia="Times New Roman" w:hAnsi="Times New Roman" w:cs="Times New Roman"/>
                <w:sz w:val="24"/>
                <w:szCs w:val="24"/>
                <w:lang w:eastAsia="lv-LV"/>
              </w:rPr>
              <w:t>trīs</w:t>
            </w:r>
            <w:r w:rsidR="00F804E9" w:rsidRPr="002E58CA">
              <w:rPr>
                <w:rFonts w:ascii="Times New Roman" w:eastAsia="Times New Roman" w:hAnsi="Times New Roman" w:cs="Times New Roman"/>
                <w:sz w:val="24"/>
                <w:szCs w:val="24"/>
                <w:lang w:eastAsia="lv-LV"/>
              </w:rPr>
              <w:t xml:space="preserve"> </w:t>
            </w:r>
            <w:r w:rsidRPr="002E58CA">
              <w:rPr>
                <w:rFonts w:ascii="Times New Roman" w:eastAsia="Times New Roman" w:hAnsi="Times New Roman" w:cs="Times New Roman"/>
                <w:sz w:val="24"/>
                <w:szCs w:val="24"/>
                <w:lang w:eastAsia="lv-LV"/>
              </w:rPr>
              <w:t xml:space="preserve">stacionārie spēles laukumi un atbilstošs mākslinieciskais un tehniskais personāls šī resursa pilnvērtīgai izmantošanai. Teātrī uz vietas ir pieejams arī izrāžu sagatavošanai nepieciešamais </w:t>
            </w:r>
            <w:proofErr w:type="gramStart"/>
            <w:r w:rsidRPr="002E58CA">
              <w:rPr>
                <w:rFonts w:ascii="Times New Roman" w:eastAsia="Times New Roman" w:hAnsi="Times New Roman" w:cs="Times New Roman"/>
                <w:sz w:val="24"/>
                <w:szCs w:val="24"/>
                <w:lang w:eastAsia="lv-LV"/>
              </w:rPr>
              <w:t>personāls un tehniskais</w:t>
            </w:r>
            <w:proofErr w:type="gramEnd"/>
            <w:r w:rsidRPr="002E58CA">
              <w:rPr>
                <w:rFonts w:ascii="Times New Roman" w:eastAsia="Times New Roman" w:hAnsi="Times New Roman" w:cs="Times New Roman"/>
                <w:sz w:val="24"/>
                <w:szCs w:val="24"/>
                <w:lang w:eastAsia="lv-LV"/>
              </w:rPr>
              <w:t xml:space="preserve"> nodrošinājums, kas ilgtermiņā būtiski samazina jauniestudējumu izmaksas. LNT pašu ieņēmumu īpatsvars pret kopējiem ieņēmumiem normālas darbības apstākļos veido 48%, Covid-19 pandēmijas laikā procentuālais pašu ieņēmumu īpatsvars kritās līdz 28%. </w:t>
            </w:r>
          </w:p>
          <w:p w14:paraId="7E76927D"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Teātra ēka sniedz iespēju šīs telpas gan lietot pašam LNT, gan iznomāt arī citiem profesionālajiem teātriem. Īpaši svarīgi tas ir apstākļos, kad Rīgā nav brīvi pieejamas lielās zāles skatuves, kas būtu izmantojama viesizrāžu vai nevalstisko teātru vajadzībām. </w:t>
            </w:r>
          </w:p>
          <w:p w14:paraId="25DEBB20" w14:textId="31719632"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Analizējot visus teātra nozares tirgus dalībniekus, redzams, ka publiskie pakalpojumu sniedzēji, kas </w:t>
            </w:r>
            <w:proofErr w:type="gramStart"/>
            <w:r w:rsidRPr="002E58CA">
              <w:rPr>
                <w:rFonts w:ascii="Times New Roman" w:eastAsia="Times New Roman" w:hAnsi="Times New Roman" w:cs="Times New Roman"/>
                <w:sz w:val="24"/>
                <w:szCs w:val="24"/>
                <w:lang w:eastAsia="lv-LV"/>
              </w:rPr>
              <w:t>2019.gadā</w:t>
            </w:r>
            <w:proofErr w:type="gramEnd"/>
            <w:r w:rsidRPr="002E58CA">
              <w:rPr>
                <w:rFonts w:ascii="Times New Roman" w:eastAsia="Times New Roman" w:hAnsi="Times New Roman" w:cs="Times New Roman"/>
                <w:sz w:val="24"/>
                <w:szCs w:val="24"/>
                <w:lang w:eastAsia="lv-LV"/>
              </w:rPr>
              <w:t xml:space="preserve"> veidoja 16,3% no kopējā nozares dalībnieku tirgus, sniedza 54% no kopējā gada laikā teātros nospēlēto izrāžu apjoma, apkalpojot 66% no visiem skatītājiem. Minētie dati liecina par labu resursu</w:t>
            </w:r>
            <w:r w:rsidR="00007932">
              <w:rPr>
                <w:rFonts w:ascii="Times New Roman" w:eastAsia="Times New Roman" w:hAnsi="Times New Roman" w:cs="Times New Roman"/>
                <w:sz w:val="24"/>
                <w:szCs w:val="24"/>
                <w:lang w:eastAsia="lv-LV"/>
              </w:rPr>
              <w:t xml:space="preserve"> </w:t>
            </w:r>
            <w:r w:rsidRPr="002E58CA">
              <w:rPr>
                <w:rFonts w:ascii="Times New Roman" w:eastAsia="Times New Roman" w:hAnsi="Times New Roman" w:cs="Times New Roman"/>
                <w:sz w:val="24"/>
                <w:szCs w:val="24"/>
                <w:lang w:eastAsia="lv-LV"/>
              </w:rPr>
              <w:t>pārvaldību. Pārtraucot valsts līdzdalību teātru darbībā, palielinātos nozares sadrumstalotība, kas atstātu ietekmi uz produktu kvalitāti un apkalpotās auditorijas apjomu. </w:t>
            </w:r>
          </w:p>
          <w:p w14:paraId="6CBD7BE3"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Valsts dažādos veidos sniedz papildu atbalstu nozarei ar Valsts </w:t>
            </w:r>
            <w:proofErr w:type="gramStart"/>
            <w:r w:rsidRPr="002E58CA">
              <w:rPr>
                <w:rFonts w:ascii="Times New Roman" w:eastAsia="Times New Roman" w:hAnsi="Times New Roman" w:cs="Times New Roman"/>
                <w:sz w:val="24"/>
                <w:szCs w:val="24"/>
                <w:lang w:eastAsia="lv-LV"/>
              </w:rPr>
              <w:t>kultūrkapitāla fonda</w:t>
            </w:r>
            <w:proofErr w:type="gramEnd"/>
            <w:r w:rsidRPr="002E58CA">
              <w:rPr>
                <w:rFonts w:ascii="Times New Roman" w:eastAsia="Times New Roman" w:hAnsi="Times New Roman" w:cs="Times New Roman"/>
                <w:sz w:val="24"/>
                <w:szCs w:val="24"/>
                <w:lang w:eastAsia="lv-LV"/>
              </w:rPr>
              <w:t xml:space="preserve"> projektu un Kultūras ministrijas starpniecību, atbalstot radošo stipendiju piešķiršanu dramaturgiem, režisoriem, scenogrāfiem, sniedzot atbalstu jaunu projektu tapšanai, taču šis atbalsts nerada apstākļus, kas veicinātu tādu </w:t>
            </w:r>
            <w:r w:rsidRPr="002E58CA">
              <w:rPr>
                <w:rFonts w:ascii="Times New Roman" w:eastAsia="Times New Roman" w:hAnsi="Times New Roman" w:cs="Times New Roman"/>
                <w:sz w:val="24"/>
                <w:szCs w:val="24"/>
                <w:lang w:eastAsia="lv-LV"/>
              </w:rPr>
              <w:lastRenderedPageBreak/>
              <w:t>nozares dalībnieku rašanos, kas varētu pārņemt vai īstenot apjomīgas kultūrpolitikas funkcijas un apkalpot plašu auditoriju. </w:t>
            </w:r>
          </w:p>
        </w:tc>
      </w:tr>
      <w:tr w:rsidR="00202DB9" w:rsidRPr="002E58CA" w14:paraId="7EAF47BF"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7ADB4D51"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lastRenderedPageBreak/>
              <w:t>Vai publiskas personas lēmums par līdzdalību PPK (tai skaitā, darbības paplašināšanu) nelikvidē stimulu privātās uzņēmējdarbības attīstībai gan konkrētās preces/pakalpojuma sniegšanā, gan plašākā kontekstā.</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A321728"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Nē, ņemot vērā, ka pakalpojumu tirgus ir ļoti piesātināts un publiskās personas atrašanās tirgū uzskatāma par konkurenci veicinošu apstākli, kas labvēlīgi ietekmē produktu attīstību un stimulē to kvalitātes celšanos. Minētie apstākļi sekmē arī inovāciju rašanos un jaunu produktu ienākšanu tirgū. </w:t>
            </w:r>
          </w:p>
        </w:tc>
      </w:tr>
      <w:tr w:rsidR="00202DB9" w:rsidRPr="002E58CA" w14:paraId="7C236B59"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25607202"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Vai konkrētā pakalpojuma sniegšanā ir novērojama pilnīga vai daļēja tirgus nepilnība. Vai šī nepilnība nav publiskas personas darbības sekas. Vai pastāv alternatīvie tirgus nepilnības novēršanas instrumenti.</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00287E1"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Konkrētā pakalpojuma sniegšanā nav novērojuma tirgus nepilnība. Valsts līdzdalība kapitālsabiedrībā sniedz būtisku ieguldījumu kultūras patēriņa vajadzību apmierināšanā un nacionālās un valstiskās piederības stiprināšanā. Esošā situācija ir dabiska ikvienas kultūras nozares pazīme, kuras attīstībai nepieciešama konsekventa valsts intervence, valsts kultūrpolitikas instrumenti un finansējums, jo tā nekomerciālā rakstura dēļ nevar darboties brīvā tirgus apstākļos. Lai sasniegtu augstvērtīgu māksliniecisko rezultātu, kā arī nodrošinātu repertuāra daudzveidību, teātrim ir nepieciešama spēcīga radoša komanda ar vienotiem mākslinieciskiem mērķiem. LNT vairāk nekā 100 gadu nepārtrauktā darbība uzskatāmi apliecina, ka šādas komandas izveide iespējama ilglaicīgas sadarbības rezultātā. Tādēļ sekmīga nozares attīstība iespējama tikai, nodrošinot stabilu māksliniecisko kolektīvu izveidi un pastāvēšanu, kam nepieciešamas ilgtermiņa investīcijas. Teātra nozares atbalstam nav identificējami citi alternatīvi tirgus nepilnību novēršanas instrumenti. </w:t>
            </w:r>
          </w:p>
        </w:tc>
      </w:tr>
      <w:tr w:rsidR="00202DB9" w:rsidRPr="002E58CA" w14:paraId="1E68DD6D"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75DA2067"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Vai pastāv kādi drošības riski nodot pakalpojuma sniegšanu privātā sektora tirgus dalībniekiem. Kādi un cik būtiski ir konkrētie riski un, vai pastāv alternatīvi veidi, kā tos samazināt vai novērst.</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C1A0CC6"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Nododot pakalpojumu sniegšanu privātiem tirgus dalībniekiem, pastāv risks būtiski samazināt auditorijas iespējas saņem kvalitatīvu, daudzveidīgu, nacionālajā kultūrā balstītu produktu. Līdz ar valsts finansējuma pārtraukšanu pastāv risks zaudēt mākslinieciski spēcīgu radošo kolektīvu. </w:t>
            </w:r>
          </w:p>
        </w:tc>
      </w:tr>
      <w:tr w:rsidR="00202DB9" w:rsidRPr="002E58CA" w14:paraId="397A1847"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38035BBD"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Vai publiskas personas iesaiste komercdarbībā nerada negatīvu ietekmi uz citiem tirgus dalībniekiem un konkurences procesu kopumā arī citos tirgos, kurus varētu skart PPK saimnieciskā darbība. Kā izpaužas šī negatīvā ietekme, cik tā ir būtiska un kā to novērst.</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3E343E3"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Publiskas personas iesaiste kapitālsabiedrībā sekmē konkurenci un labvēlīgi ietekmē produktu attīstību, veicinot to kvalitātes celšanos. </w:t>
            </w:r>
          </w:p>
          <w:p w14:paraId="70B060AF" w14:textId="77777777" w:rsidR="00202DB9" w:rsidRPr="002E58CA" w:rsidRDefault="00202DB9" w:rsidP="002E58CA">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LNT rīcībā nodotā ēka sniedz iespēju šīs telpas gan lietot pašam LNT, gan iznomāt tās citiem profesionālajiem teātriem. Īpaši svarīgi tas ir apstākļos, kad Rīgā nav brīvi pieejamas lielās zāles skatuves, kas būtu izmantojama viesizrāžu vai nevalstisko teātru vajadzībām. Nozarē </w:t>
            </w:r>
            <w:r w:rsidRPr="002E58CA">
              <w:rPr>
                <w:rFonts w:ascii="Times New Roman" w:eastAsia="Times New Roman" w:hAnsi="Times New Roman" w:cs="Times New Roman"/>
                <w:sz w:val="24"/>
                <w:szCs w:val="24"/>
                <w:lang w:eastAsia="lv-LV"/>
              </w:rPr>
              <w:lastRenderedPageBreak/>
              <w:t>pastāvošā konkurence sekmē arī inovāciju rašanos un jaunu produktu ienākšanu tirgū. </w:t>
            </w:r>
          </w:p>
        </w:tc>
      </w:tr>
      <w:tr w:rsidR="00202DB9" w:rsidRPr="002E58CA" w14:paraId="19085A53"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1C023BA1"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lastRenderedPageBreak/>
              <w:t>Kādas (tai skaitā, cik būtiskas) būtu iespējamās ilgtermiņa sekas uz patērētājiem, ja publiska persona neturpinātu komercdarbību. Vai tas radītu lielāku zaudējumu patērētājam, nekā darbības turpināšana tirgū.</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CB64F2E" w14:textId="3E1A76E5"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Ieguldījums teātra darbībā vienmēr ir uzlūkojams par ilgtermiņa investīciju, jo spēcīgs mākslinieciskais ansamblis veidojas ilglaicīgas sadarbības rezultātā. Latvijā dominējošais ir repertuāra teātra modelis, kas balstās uz pastāvīgu aktieru ansambli, kurš spēj nodrošināt daudzveidīgu repertuāru. Šāda ansambļa un tā individuālā mākslinieciskā rokraksta izveidei ir nepieciešams ilgstošs darbs. Tādēļ teātra pastāvēšanā ir nepieciešams ilgtermiņa finansējums un prognozējamība. Neturpinot valsts līdzdalību LNT, tiktu iznīcināts spēcīgs radošs kolektīvs, par kādu uzskatāms šī teātra aktieru ansamblis. Pastāv iespēja, ka daļa šo mākslinieku atrastu darbu citos profesionālajos teātros, taču kā unikāls māksliniecisks kopums </w:t>
            </w:r>
            <w:r w:rsidR="000C5682">
              <w:rPr>
                <w:rFonts w:ascii="Times New Roman" w:eastAsia="Times New Roman" w:hAnsi="Times New Roman" w:cs="Times New Roman"/>
                <w:sz w:val="24"/>
                <w:szCs w:val="24"/>
                <w:lang w:eastAsia="lv-LV"/>
              </w:rPr>
              <w:t>teātra aktieru</w:t>
            </w:r>
            <w:r w:rsidR="000C5682" w:rsidRPr="002E58CA">
              <w:rPr>
                <w:rFonts w:ascii="Times New Roman" w:eastAsia="Times New Roman" w:hAnsi="Times New Roman" w:cs="Times New Roman"/>
                <w:sz w:val="24"/>
                <w:szCs w:val="24"/>
                <w:lang w:eastAsia="lv-LV"/>
              </w:rPr>
              <w:t xml:space="preserve"> </w:t>
            </w:r>
            <w:r w:rsidRPr="002E58CA">
              <w:rPr>
                <w:rFonts w:ascii="Times New Roman" w:eastAsia="Times New Roman" w:hAnsi="Times New Roman" w:cs="Times New Roman"/>
                <w:sz w:val="24"/>
                <w:szCs w:val="24"/>
                <w:lang w:eastAsia="lv-LV"/>
              </w:rPr>
              <w:t>ansamblis tiktu neatgriezeniski zaudēts. Straujas finansējuma modeļa izmaiņas var ne tikai sagraut konkrēto komersantu, bet radīt negatīvas sekas nacionālajās vērtībās balstītā teātra piedāvājumā kopumā. </w:t>
            </w:r>
          </w:p>
        </w:tc>
      </w:tr>
      <w:tr w:rsidR="00202DB9" w:rsidRPr="002E58CA" w14:paraId="20DB7C93"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707DE7FC"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939937A"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Nē, publiskas personas iesaiste kapitālsabiedrībā neabsorbē kapitālu un cilvēkresursus, bet tos attīstīta un nodarbina. Par to liecina teātri apkalpojošo nozaru attīstība, par kādu uzskatāma dekorāciju ražošana vai biļešu tirdzniecība. Mākslinieciskā un tehniskā personāla izmantojumā vērojama plaša sadarbība starp publisko un privāto sektoru, kas sekmē kopējā profesionāla līmeņa izaugsmi nozarē. </w:t>
            </w:r>
          </w:p>
        </w:tc>
      </w:tr>
      <w:tr w:rsidR="00202DB9" w:rsidRPr="002E58CA" w14:paraId="4C554F56"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1F46D14C"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Vai un cik būtiski publiskas personas iesaiste komercdarbībā negatīvi ietekmēs privātā sektora inovācijas un attīstību jebkurā no tirgiem, ko PPK darbība varētu ietekmēt/skart.</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AD8056E" w14:textId="1850018A"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Publiskas personas iesaiste </w:t>
            </w:r>
            <w:r w:rsidR="000C5682">
              <w:rPr>
                <w:rFonts w:ascii="Times New Roman" w:eastAsia="Times New Roman" w:hAnsi="Times New Roman" w:cs="Times New Roman"/>
                <w:sz w:val="24"/>
                <w:szCs w:val="24"/>
                <w:lang w:eastAsia="lv-LV"/>
              </w:rPr>
              <w:t>LNT</w:t>
            </w:r>
            <w:r w:rsidR="000C5682" w:rsidRPr="002E58CA">
              <w:rPr>
                <w:rFonts w:ascii="Times New Roman" w:eastAsia="Times New Roman" w:hAnsi="Times New Roman" w:cs="Times New Roman"/>
                <w:sz w:val="24"/>
                <w:szCs w:val="24"/>
                <w:lang w:eastAsia="lv-LV"/>
              </w:rPr>
              <w:t xml:space="preserve"> </w:t>
            </w:r>
            <w:r w:rsidRPr="002E58CA">
              <w:rPr>
                <w:rFonts w:ascii="Times New Roman" w:eastAsia="Times New Roman" w:hAnsi="Times New Roman" w:cs="Times New Roman"/>
                <w:sz w:val="24"/>
                <w:szCs w:val="24"/>
                <w:lang w:eastAsia="lv-LV"/>
              </w:rPr>
              <w:t>pozitīvi ietekmē nozares tirgus pakalpojumus un dalībniekus, veicinot to radīto produktu daudzveidību un māksliniecisko kvalitāti. Kopējā teātra tirgus piesātinājums sekmē konkurenci, inovāciju rašanos un mākslinieciskās kvalitātes izaugsmi. </w:t>
            </w:r>
          </w:p>
        </w:tc>
      </w:tr>
      <w:tr w:rsidR="00202DB9" w:rsidRPr="002E58CA" w14:paraId="6963A373"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7FD1722D"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Kāds varētu būt iespējamais investīciju apjoms PPK tuvāko 1-5 gadu laikā. Vai ieguvumi no preces/pakalpojuma atsver investīcijas, proti, vai alternatīvās izmaksas nav pārāk augstas (vai nav jāatsakās no investēšanas lietderīgākā un patērētājiem vēlamākā projektā).</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11623AF"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Ikgadējs valsts dotāciju apjoms LNT tuvāko piecu gadu laikā plānots ~2 850 000 </w:t>
            </w:r>
            <w:r w:rsidRPr="002E58CA">
              <w:rPr>
                <w:rFonts w:ascii="Times New Roman" w:eastAsia="Times New Roman" w:hAnsi="Times New Roman" w:cs="Times New Roman"/>
                <w:i/>
                <w:iCs/>
                <w:sz w:val="24"/>
                <w:szCs w:val="24"/>
                <w:lang w:eastAsia="lv-LV"/>
              </w:rPr>
              <w:t>euro</w:t>
            </w:r>
            <w:r w:rsidRPr="002E58CA">
              <w:rPr>
                <w:rFonts w:ascii="Times New Roman" w:eastAsia="Times New Roman" w:hAnsi="Times New Roman" w:cs="Times New Roman"/>
                <w:sz w:val="24"/>
                <w:szCs w:val="24"/>
                <w:lang w:eastAsia="lv-LV"/>
              </w:rPr>
              <w:t xml:space="preserve"> apmērā, kas ietver mākslinieciskās darbības nodrošināšanu. Investīcijas ir atbilstošas valsts deleģētajam uzdevumam. </w:t>
            </w:r>
          </w:p>
        </w:tc>
      </w:tr>
      <w:tr w:rsidR="00202DB9" w:rsidRPr="002E58CA" w14:paraId="759E163B"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2E82596E"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t xml:space="preserve">Vai ir iegūti un izvērtēti citu pušu (gan publiskā, gan privātā sektora) viedokļi par iespējamiem riskiem publiskas personas līdzdalībai kapitālsabiedrībā (piemēram, sabiedriskā apspriešana, </w:t>
            </w:r>
            <w:r w:rsidRPr="002E58CA">
              <w:rPr>
                <w:rFonts w:ascii="Times New Roman" w:eastAsia="Times New Roman" w:hAnsi="Times New Roman" w:cs="Times New Roman"/>
                <w:b/>
                <w:bCs/>
                <w:sz w:val="24"/>
                <w:szCs w:val="24"/>
                <w:lang w:eastAsia="lv-LV"/>
              </w:rPr>
              <w:lastRenderedPageBreak/>
              <w:t>aptaujas, konsultācijas ar NVO un uzņēmējiem).</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9ADA4F4"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lastRenderedPageBreak/>
              <w:t xml:space="preserve">Jā, ir veiktas konsultācijas ar teātra nozares organizācijām – Latvijas Teātra darbinieku savienību, </w:t>
            </w:r>
            <w:proofErr w:type="gramStart"/>
            <w:r w:rsidRPr="002E58CA">
              <w:rPr>
                <w:rFonts w:ascii="Times New Roman" w:eastAsia="Times New Roman" w:hAnsi="Times New Roman" w:cs="Times New Roman"/>
                <w:sz w:val="24"/>
                <w:szCs w:val="24"/>
                <w:lang w:eastAsia="lv-LV"/>
              </w:rPr>
              <w:t>kas paudusi atbalstu LNT darbībai</w:t>
            </w:r>
            <w:proofErr w:type="gramEnd"/>
            <w:r w:rsidRPr="002E58CA">
              <w:rPr>
                <w:rFonts w:ascii="Times New Roman" w:eastAsia="Times New Roman" w:hAnsi="Times New Roman" w:cs="Times New Roman"/>
                <w:sz w:val="24"/>
                <w:szCs w:val="24"/>
                <w:lang w:eastAsia="lv-LV"/>
              </w:rPr>
              <w:t xml:space="preserve"> un tā nozīmīgajai lomai nacionālo kultūrvērtību saglabāšanā un attīstīšanā. Teātra māksliniecisko darbību ik gadus vērtē neatkarīgi „Spēlmaņu </w:t>
            </w:r>
            <w:r w:rsidRPr="002E58CA">
              <w:rPr>
                <w:rFonts w:ascii="Times New Roman" w:eastAsia="Times New Roman" w:hAnsi="Times New Roman" w:cs="Times New Roman"/>
                <w:sz w:val="24"/>
                <w:szCs w:val="24"/>
                <w:lang w:eastAsia="lv-LV"/>
              </w:rPr>
              <w:lastRenderedPageBreak/>
              <w:t xml:space="preserve">nakts” žūrijas eksperti, sniedzot atzinumu par tā māksliniecisko kvalitāti. Par LNT augsto māksliniecisko kvalitāti liecina 10 gadu periodā saņemtās piecas Grand </w:t>
            </w:r>
            <w:proofErr w:type="spellStart"/>
            <w:r w:rsidRPr="002E58CA">
              <w:rPr>
                <w:rFonts w:ascii="Times New Roman" w:eastAsia="Times New Roman" w:hAnsi="Times New Roman" w:cs="Times New Roman"/>
                <w:sz w:val="24"/>
                <w:szCs w:val="24"/>
                <w:lang w:eastAsia="lv-LV"/>
              </w:rPr>
              <w:t>Prix</w:t>
            </w:r>
            <w:proofErr w:type="spellEnd"/>
            <w:r w:rsidRPr="002E58CA">
              <w:rPr>
                <w:rFonts w:ascii="Times New Roman" w:eastAsia="Times New Roman" w:hAnsi="Times New Roman" w:cs="Times New Roman"/>
                <w:sz w:val="24"/>
                <w:szCs w:val="24"/>
                <w:lang w:eastAsia="lv-LV"/>
              </w:rPr>
              <w:t xml:space="preserve"> balvas, kas ir žūrijas augstākais novērtējums LNT radošai darbībai. </w:t>
            </w:r>
          </w:p>
        </w:tc>
      </w:tr>
      <w:tr w:rsidR="00202DB9" w:rsidRPr="002E58CA" w14:paraId="29F67C27" w14:textId="77777777" w:rsidTr="00202DB9">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4CC7BD5C" w14:textId="77777777"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b/>
                <w:bCs/>
                <w:sz w:val="24"/>
                <w:szCs w:val="24"/>
                <w:lang w:eastAsia="lv-LV"/>
              </w:rPr>
              <w:lastRenderedPageBreak/>
              <w:t>Vai publiskā persona ir veikusi ietekmes uz konkurenci izvērtējumu (konkurences situācijas novērtējums, </w:t>
            </w:r>
            <w:proofErr w:type="gramStart"/>
            <w:r w:rsidRPr="002E58CA">
              <w:rPr>
                <w:rFonts w:ascii="Times New Roman" w:eastAsia="Times New Roman" w:hAnsi="Times New Roman" w:cs="Times New Roman"/>
                <w:b/>
                <w:bCs/>
                <w:sz w:val="24"/>
                <w:szCs w:val="24"/>
                <w:lang w:eastAsia="lv-LV"/>
              </w:rPr>
              <w:t>kas sevī ietver</w:t>
            </w:r>
            <w:proofErr w:type="gramEnd"/>
            <w:r w:rsidRPr="002E58CA">
              <w:rPr>
                <w:rFonts w:ascii="Times New Roman" w:eastAsia="Times New Roman" w:hAnsi="Times New Roman" w:cs="Times New Roman"/>
                <w:b/>
                <w:bCs/>
                <w:sz w:val="24"/>
                <w:szCs w:val="24"/>
                <w:lang w:eastAsia="lv-LV"/>
              </w:rPr>
              <w:t>, piemēram, apzināt tirgū esošos komersantus, pakalpojumu/preču pieejamība, iespējamās tirgus barjeras), identificējot konkurencei draudzīgāko risinājumu.</w:t>
            </w:r>
            <w:r w:rsidRPr="002E58CA">
              <w:rPr>
                <w:rFonts w:ascii="Times New Roman" w:eastAsia="Times New Roman" w:hAnsi="Times New Roman" w:cs="Times New Roman"/>
                <w:sz w:val="24"/>
                <w:szCs w:val="24"/>
                <w:lang w:eastAsia="lv-LV"/>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5B849DD" w14:textId="5735D99C" w:rsidR="00202DB9" w:rsidRPr="002E58CA" w:rsidRDefault="00202DB9" w:rsidP="002E58CA">
            <w:pPr>
              <w:spacing w:after="0" w:line="240" w:lineRule="auto"/>
              <w:ind w:left="57" w:right="57"/>
              <w:jc w:val="both"/>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xml:space="preserve">Jā, Kultūras ministrija </w:t>
            </w:r>
            <w:proofErr w:type="gramStart"/>
            <w:r w:rsidRPr="002E58CA">
              <w:rPr>
                <w:rFonts w:ascii="Times New Roman" w:eastAsia="Times New Roman" w:hAnsi="Times New Roman" w:cs="Times New Roman"/>
                <w:sz w:val="24"/>
                <w:szCs w:val="24"/>
                <w:lang w:eastAsia="lv-LV"/>
              </w:rPr>
              <w:t>2020.gadā</w:t>
            </w:r>
            <w:proofErr w:type="gramEnd"/>
            <w:r w:rsidRPr="002E58CA">
              <w:rPr>
                <w:rFonts w:ascii="Times New Roman" w:eastAsia="Times New Roman" w:hAnsi="Times New Roman" w:cs="Times New Roman"/>
                <w:sz w:val="24"/>
                <w:szCs w:val="24"/>
                <w:lang w:eastAsia="lv-LV"/>
              </w:rPr>
              <w:t xml:space="preserve"> sadarbībā ar Latvijas Kultūras akadēmiju un SIA „Analītisko pētījumu un stratēģiju laboratorija” veikusi profesionālā teātra un mūzikas mākslas jomas izvērtējumu, kā arī Kultūras ministrija pastāvīgi novērtē situāciju nozarē, analizējot atsevišķo tirgus dalībnieku darbības specifiku, tirgus segmentus un attīstības instrumentus. Kultūras ministrijā darbojas </w:t>
            </w:r>
            <w:r w:rsidR="00AA648B" w:rsidRPr="002E58CA">
              <w:rPr>
                <w:rFonts w:ascii="Times New Roman" w:eastAsia="Times New Roman" w:hAnsi="Times New Roman" w:cs="Times New Roman"/>
                <w:sz w:val="24"/>
                <w:szCs w:val="24"/>
                <w:lang w:eastAsia="lv-LV"/>
              </w:rPr>
              <w:t xml:space="preserve">Latvijas Teātra padome, kas sevī apvieno gan valsts kapitālsabiedrību, gan nevalstiskā sektora pārstāvjus, gan nozares dalībniekus pārstāvošas biedrības un starptautisku profesionālo organizāciju Latvijas teritoriālās vienības, gan citus ar nozari saistītus ekspertus, kas analizē situāciju nozarē un sniedz priekšlikumus kultūrpolitikas veidošanai un īstenošanai, tai skaitā piedaloties Teātra nozares stratēģijas 2014.-2020.gadam un Kultūrpolitikas </w:t>
            </w:r>
            <w:r w:rsidR="00AA648B" w:rsidRPr="002E58CA">
              <w:rPr>
                <w:rFonts w:ascii="Times New Roman" w:eastAsia="Times New Roman" w:hAnsi="Times New Roman" w:cs="Times New Roman"/>
                <w:color w:val="000000" w:themeColor="text1"/>
                <w:sz w:val="24"/>
                <w:szCs w:val="24"/>
                <w:lang w:eastAsia="lv-LV"/>
              </w:rPr>
              <w:t>pamatnostādņu 2022.-2027.gadam „</w:t>
            </w:r>
            <w:proofErr w:type="spellStart"/>
            <w:r w:rsidR="00AA648B" w:rsidRPr="002E58CA">
              <w:rPr>
                <w:rFonts w:ascii="Times New Roman" w:eastAsia="Times New Roman" w:hAnsi="Times New Roman" w:cs="Times New Roman"/>
                <w:color w:val="000000" w:themeColor="text1"/>
                <w:sz w:val="24"/>
                <w:szCs w:val="24"/>
                <w:lang w:eastAsia="lv-LV"/>
              </w:rPr>
              <w:t>Kultūrvalsts</w:t>
            </w:r>
            <w:proofErr w:type="spellEnd"/>
            <w:r w:rsidR="00AA648B" w:rsidRPr="002E58CA">
              <w:rPr>
                <w:rFonts w:ascii="Times New Roman" w:eastAsia="Times New Roman" w:hAnsi="Times New Roman" w:cs="Times New Roman"/>
                <w:color w:val="000000" w:themeColor="text1"/>
                <w:sz w:val="24"/>
                <w:szCs w:val="24"/>
                <w:lang w:eastAsia="lv-LV"/>
              </w:rPr>
              <w:t>”</w:t>
            </w:r>
            <w:r w:rsidR="00AA648B" w:rsidRPr="002E58CA">
              <w:rPr>
                <w:rFonts w:ascii="Times New Roman" w:eastAsia="Times New Roman" w:hAnsi="Times New Roman" w:cs="Times New Roman"/>
                <w:sz w:val="24"/>
                <w:szCs w:val="24"/>
                <w:lang w:eastAsia="lv-LV"/>
              </w:rPr>
              <w:t xml:space="preserve"> (apstiprinātas ar Ministru kabineta 2022.gada 1.marta rīkojumu Nr.143) izstrādē.</w:t>
            </w:r>
          </w:p>
        </w:tc>
      </w:tr>
    </w:tbl>
    <w:p w14:paraId="360A5DA2" w14:textId="378ADC72" w:rsidR="005A62BC" w:rsidRPr="002E58CA" w:rsidRDefault="001D61C9" w:rsidP="002E58CA">
      <w:pPr>
        <w:spacing w:after="0" w:line="240" w:lineRule="auto"/>
        <w:ind w:left="57" w:right="57"/>
        <w:textAlignment w:val="baseline"/>
        <w:rPr>
          <w:rFonts w:ascii="Times New Roman" w:eastAsia="Times New Roman" w:hAnsi="Times New Roman" w:cs="Times New Roman"/>
          <w:sz w:val="24"/>
          <w:szCs w:val="24"/>
          <w:lang w:eastAsia="lv-LV"/>
        </w:rPr>
      </w:pPr>
      <w:r w:rsidRPr="002E58CA">
        <w:rPr>
          <w:rFonts w:ascii="Times New Roman" w:eastAsia="Times New Roman" w:hAnsi="Times New Roman" w:cs="Times New Roman"/>
          <w:sz w:val="24"/>
          <w:szCs w:val="24"/>
          <w:lang w:eastAsia="lv-LV"/>
        </w:rPr>
        <w:t> </w:t>
      </w:r>
    </w:p>
    <w:p w14:paraId="3AFEF36F" w14:textId="47EA2551" w:rsidR="00711056" w:rsidRPr="002E58CA" w:rsidRDefault="00711056" w:rsidP="002E58CA">
      <w:pPr>
        <w:spacing w:after="0" w:line="240" w:lineRule="auto"/>
        <w:ind w:left="57" w:right="57" w:firstLine="284"/>
        <w:rPr>
          <w:rFonts w:ascii="Times New Roman" w:eastAsia="Times New Roman" w:hAnsi="Times New Roman" w:cs="Times New Roman"/>
          <w:bCs/>
          <w:sz w:val="24"/>
          <w:szCs w:val="24"/>
        </w:rPr>
      </w:pPr>
    </w:p>
    <w:sectPr w:rsidR="00711056" w:rsidRPr="002E58CA" w:rsidSect="00DB246F">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3728" w14:textId="77777777" w:rsidR="00B945D1" w:rsidRDefault="00B945D1" w:rsidP="00B945D1">
      <w:pPr>
        <w:spacing w:after="0" w:line="240" w:lineRule="auto"/>
      </w:pPr>
      <w:r>
        <w:separator/>
      </w:r>
    </w:p>
  </w:endnote>
  <w:endnote w:type="continuationSeparator" w:id="0">
    <w:p w14:paraId="0188EDDD" w14:textId="77777777" w:rsidR="00B945D1" w:rsidRDefault="00B945D1" w:rsidP="00B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BBD1" w14:textId="340A4274" w:rsidR="00B945D1" w:rsidRPr="00DB246F" w:rsidRDefault="009D1046">
    <w:pPr>
      <w:pStyle w:val="Kjene"/>
      <w:rPr>
        <w:sz w:val="20"/>
        <w:szCs w:val="20"/>
      </w:rPr>
    </w:pPr>
    <w:r w:rsidRPr="009D1046">
      <w:rPr>
        <w:rFonts w:ascii="Times New Roman" w:hAnsi="Times New Roman" w:cs="Times New Roman"/>
        <w:sz w:val="20"/>
        <w:szCs w:val="20"/>
      </w:rPr>
      <w:t>KMAnotp02_270722_lidzdaliba_visp_strateg_merkis_LNT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A1D5" w14:textId="5FEC2834" w:rsidR="00711056" w:rsidRPr="00DB246F" w:rsidRDefault="009D1046">
    <w:pPr>
      <w:pStyle w:val="Kjene"/>
      <w:rPr>
        <w:sz w:val="20"/>
        <w:szCs w:val="20"/>
      </w:rPr>
    </w:pPr>
    <w:r w:rsidRPr="009D1046">
      <w:rPr>
        <w:rFonts w:ascii="Times New Roman" w:hAnsi="Times New Roman" w:cs="Times New Roman"/>
        <w:sz w:val="20"/>
        <w:szCs w:val="20"/>
      </w:rPr>
      <w:t>KMAnotp02_270722_lidzdaliba_visp_strateg_merkis_LNT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C06A2" w14:textId="77777777" w:rsidR="00B945D1" w:rsidRDefault="00B945D1" w:rsidP="00B945D1">
      <w:pPr>
        <w:spacing w:after="0" w:line="240" w:lineRule="auto"/>
      </w:pPr>
      <w:r>
        <w:separator/>
      </w:r>
    </w:p>
  </w:footnote>
  <w:footnote w:type="continuationSeparator" w:id="0">
    <w:p w14:paraId="705C346B" w14:textId="77777777" w:rsidR="00B945D1" w:rsidRDefault="00B945D1" w:rsidP="00B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09574670"/>
      <w:docPartObj>
        <w:docPartGallery w:val="Page Numbers (Top of Page)"/>
        <w:docPartUnique/>
      </w:docPartObj>
    </w:sdtPr>
    <w:sdtEndPr/>
    <w:sdtContent>
      <w:p w14:paraId="193A26E2" w14:textId="7A8BCAF8" w:rsidR="00711056" w:rsidRPr="00DB246F" w:rsidRDefault="00711056">
        <w:pPr>
          <w:pStyle w:val="Galvene"/>
          <w:jc w:val="center"/>
          <w:rPr>
            <w:rFonts w:ascii="Times New Roman" w:hAnsi="Times New Roman" w:cs="Times New Roman"/>
            <w:sz w:val="24"/>
            <w:szCs w:val="24"/>
          </w:rP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p w14:paraId="5415AAAE" w14:textId="77777777" w:rsidR="00711056" w:rsidRDefault="0071105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07932"/>
    <w:rsid w:val="00020CE4"/>
    <w:rsid w:val="000C5682"/>
    <w:rsid w:val="000F7641"/>
    <w:rsid w:val="00117A02"/>
    <w:rsid w:val="00122C2F"/>
    <w:rsid w:val="0014734F"/>
    <w:rsid w:val="001A2403"/>
    <w:rsid w:val="001B0008"/>
    <w:rsid w:val="001B25C4"/>
    <w:rsid w:val="001D61C9"/>
    <w:rsid w:val="001E0E14"/>
    <w:rsid w:val="001E6881"/>
    <w:rsid w:val="00202DB9"/>
    <w:rsid w:val="002A1882"/>
    <w:rsid w:val="002E0B88"/>
    <w:rsid w:val="002E58CA"/>
    <w:rsid w:val="00323C9B"/>
    <w:rsid w:val="00337EEE"/>
    <w:rsid w:val="00357D6A"/>
    <w:rsid w:val="0039258E"/>
    <w:rsid w:val="004261D4"/>
    <w:rsid w:val="0050116D"/>
    <w:rsid w:val="00514EEC"/>
    <w:rsid w:val="0056752A"/>
    <w:rsid w:val="00594570"/>
    <w:rsid w:val="005A62BC"/>
    <w:rsid w:val="00600139"/>
    <w:rsid w:val="00672221"/>
    <w:rsid w:val="006B17E7"/>
    <w:rsid w:val="006C1A92"/>
    <w:rsid w:val="00711056"/>
    <w:rsid w:val="00712AE6"/>
    <w:rsid w:val="007158DC"/>
    <w:rsid w:val="00747A7F"/>
    <w:rsid w:val="00747A9A"/>
    <w:rsid w:val="0076378E"/>
    <w:rsid w:val="0077470C"/>
    <w:rsid w:val="007C308B"/>
    <w:rsid w:val="00822BDD"/>
    <w:rsid w:val="008865DC"/>
    <w:rsid w:val="008D6EE8"/>
    <w:rsid w:val="008F7D2D"/>
    <w:rsid w:val="00925E6C"/>
    <w:rsid w:val="00936A5C"/>
    <w:rsid w:val="009674BA"/>
    <w:rsid w:val="00970BB1"/>
    <w:rsid w:val="0099346D"/>
    <w:rsid w:val="009B1249"/>
    <w:rsid w:val="009D1046"/>
    <w:rsid w:val="009D49EC"/>
    <w:rsid w:val="00A03560"/>
    <w:rsid w:val="00A107B7"/>
    <w:rsid w:val="00AA648B"/>
    <w:rsid w:val="00AC443A"/>
    <w:rsid w:val="00B67C61"/>
    <w:rsid w:val="00B945D1"/>
    <w:rsid w:val="00C23326"/>
    <w:rsid w:val="00C25E19"/>
    <w:rsid w:val="00C91820"/>
    <w:rsid w:val="00CC0DD6"/>
    <w:rsid w:val="00D06D85"/>
    <w:rsid w:val="00D1510D"/>
    <w:rsid w:val="00D4414D"/>
    <w:rsid w:val="00D47115"/>
    <w:rsid w:val="00D749B5"/>
    <w:rsid w:val="00DA78A2"/>
    <w:rsid w:val="00DB246F"/>
    <w:rsid w:val="00DC7063"/>
    <w:rsid w:val="00E249DE"/>
    <w:rsid w:val="00E25660"/>
    <w:rsid w:val="00E3324D"/>
    <w:rsid w:val="00E40DE3"/>
    <w:rsid w:val="00EB1603"/>
    <w:rsid w:val="00F15CCF"/>
    <w:rsid w:val="00F50F2E"/>
    <w:rsid w:val="00F804E9"/>
    <w:rsid w:val="00FC6DCB"/>
    <w:rsid w:val="00FE48E5"/>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 w:type="character" w:customStyle="1" w:styleId="spellingerror">
    <w:name w:val="spellingerror"/>
    <w:basedOn w:val="Noklusjumarindkopasfonts"/>
    <w:rsid w:val="00202DB9"/>
  </w:style>
  <w:style w:type="character" w:customStyle="1" w:styleId="superscript">
    <w:name w:val="superscript"/>
    <w:basedOn w:val="Noklusjumarindkopasfonts"/>
    <w:rsid w:val="00202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 w:id="2105101801">
      <w:bodyDiv w:val="1"/>
      <w:marLeft w:val="0"/>
      <w:marRight w:val="0"/>
      <w:marTop w:val="0"/>
      <w:marBottom w:val="0"/>
      <w:divBdr>
        <w:top w:val="none" w:sz="0" w:space="0" w:color="auto"/>
        <w:left w:val="none" w:sz="0" w:space="0" w:color="auto"/>
        <w:bottom w:val="none" w:sz="0" w:space="0" w:color="auto"/>
        <w:right w:val="none" w:sz="0" w:space="0" w:color="auto"/>
      </w:divBdr>
      <w:divsChild>
        <w:div w:id="1459564171">
          <w:marLeft w:val="0"/>
          <w:marRight w:val="0"/>
          <w:marTop w:val="0"/>
          <w:marBottom w:val="0"/>
          <w:divBdr>
            <w:top w:val="none" w:sz="0" w:space="0" w:color="auto"/>
            <w:left w:val="none" w:sz="0" w:space="0" w:color="auto"/>
            <w:bottom w:val="none" w:sz="0" w:space="0" w:color="auto"/>
            <w:right w:val="none" w:sz="0" w:space="0" w:color="auto"/>
          </w:divBdr>
        </w:div>
        <w:div w:id="276252408">
          <w:marLeft w:val="0"/>
          <w:marRight w:val="0"/>
          <w:marTop w:val="0"/>
          <w:marBottom w:val="0"/>
          <w:divBdr>
            <w:top w:val="none" w:sz="0" w:space="0" w:color="auto"/>
            <w:left w:val="none" w:sz="0" w:space="0" w:color="auto"/>
            <w:bottom w:val="none" w:sz="0" w:space="0" w:color="auto"/>
            <w:right w:val="none" w:sz="0" w:space="0" w:color="auto"/>
          </w:divBdr>
        </w:div>
        <w:div w:id="272399222">
          <w:marLeft w:val="0"/>
          <w:marRight w:val="0"/>
          <w:marTop w:val="0"/>
          <w:marBottom w:val="0"/>
          <w:divBdr>
            <w:top w:val="none" w:sz="0" w:space="0" w:color="auto"/>
            <w:left w:val="none" w:sz="0" w:space="0" w:color="auto"/>
            <w:bottom w:val="none" w:sz="0" w:space="0" w:color="auto"/>
            <w:right w:val="none" w:sz="0" w:space="0" w:color="auto"/>
          </w:divBdr>
          <w:divsChild>
            <w:div w:id="320432863">
              <w:marLeft w:val="-75"/>
              <w:marRight w:val="0"/>
              <w:marTop w:val="30"/>
              <w:marBottom w:val="30"/>
              <w:divBdr>
                <w:top w:val="none" w:sz="0" w:space="0" w:color="auto"/>
                <w:left w:val="none" w:sz="0" w:space="0" w:color="auto"/>
                <w:bottom w:val="none" w:sz="0" w:space="0" w:color="auto"/>
                <w:right w:val="none" w:sz="0" w:space="0" w:color="auto"/>
              </w:divBdr>
              <w:divsChild>
                <w:div w:id="1978954267">
                  <w:marLeft w:val="0"/>
                  <w:marRight w:val="0"/>
                  <w:marTop w:val="0"/>
                  <w:marBottom w:val="0"/>
                  <w:divBdr>
                    <w:top w:val="none" w:sz="0" w:space="0" w:color="auto"/>
                    <w:left w:val="none" w:sz="0" w:space="0" w:color="auto"/>
                    <w:bottom w:val="none" w:sz="0" w:space="0" w:color="auto"/>
                    <w:right w:val="none" w:sz="0" w:space="0" w:color="auto"/>
                  </w:divBdr>
                  <w:divsChild>
                    <w:div w:id="1104959520">
                      <w:marLeft w:val="0"/>
                      <w:marRight w:val="0"/>
                      <w:marTop w:val="0"/>
                      <w:marBottom w:val="0"/>
                      <w:divBdr>
                        <w:top w:val="none" w:sz="0" w:space="0" w:color="auto"/>
                        <w:left w:val="none" w:sz="0" w:space="0" w:color="auto"/>
                        <w:bottom w:val="none" w:sz="0" w:space="0" w:color="auto"/>
                        <w:right w:val="none" w:sz="0" w:space="0" w:color="auto"/>
                      </w:divBdr>
                    </w:div>
                  </w:divsChild>
                </w:div>
                <w:div w:id="1975522087">
                  <w:marLeft w:val="0"/>
                  <w:marRight w:val="0"/>
                  <w:marTop w:val="0"/>
                  <w:marBottom w:val="0"/>
                  <w:divBdr>
                    <w:top w:val="none" w:sz="0" w:space="0" w:color="auto"/>
                    <w:left w:val="none" w:sz="0" w:space="0" w:color="auto"/>
                    <w:bottom w:val="none" w:sz="0" w:space="0" w:color="auto"/>
                    <w:right w:val="none" w:sz="0" w:space="0" w:color="auto"/>
                  </w:divBdr>
                  <w:divsChild>
                    <w:div w:id="706760846">
                      <w:marLeft w:val="0"/>
                      <w:marRight w:val="0"/>
                      <w:marTop w:val="0"/>
                      <w:marBottom w:val="0"/>
                      <w:divBdr>
                        <w:top w:val="none" w:sz="0" w:space="0" w:color="auto"/>
                        <w:left w:val="none" w:sz="0" w:space="0" w:color="auto"/>
                        <w:bottom w:val="none" w:sz="0" w:space="0" w:color="auto"/>
                        <w:right w:val="none" w:sz="0" w:space="0" w:color="auto"/>
                      </w:divBdr>
                    </w:div>
                  </w:divsChild>
                </w:div>
                <w:div w:id="2007898397">
                  <w:marLeft w:val="0"/>
                  <w:marRight w:val="0"/>
                  <w:marTop w:val="0"/>
                  <w:marBottom w:val="0"/>
                  <w:divBdr>
                    <w:top w:val="none" w:sz="0" w:space="0" w:color="auto"/>
                    <w:left w:val="none" w:sz="0" w:space="0" w:color="auto"/>
                    <w:bottom w:val="none" w:sz="0" w:space="0" w:color="auto"/>
                    <w:right w:val="none" w:sz="0" w:space="0" w:color="auto"/>
                  </w:divBdr>
                  <w:divsChild>
                    <w:div w:id="1448768743">
                      <w:marLeft w:val="0"/>
                      <w:marRight w:val="0"/>
                      <w:marTop w:val="0"/>
                      <w:marBottom w:val="0"/>
                      <w:divBdr>
                        <w:top w:val="none" w:sz="0" w:space="0" w:color="auto"/>
                        <w:left w:val="none" w:sz="0" w:space="0" w:color="auto"/>
                        <w:bottom w:val="none" w:sz="0" w:space="0" w:color="auto"/>
                        <w:right w:val="none" w:sz="0" w:space="0" w:color="auto"/>
                      </w:divBdr>
                    </w:div>
                  </w:divsChild>
                </w:div>
                <w:div w:id="1208374572">
                  <w:marLeft w:val="0"/>
                  <w:marRight w:val="0"/>
                  <w:marTop w:val="0"/>
                  <w:marBottom w:val="0"/>
                  <w:divBdr>
                    <w:top w:val="none" w:sz="0" w:space="0" w:color="auto"/>
                    <w:left w:val="none" w:sz="0" w:space="0" w:color="auto"/>
                    <w:bottom w:val="none" w:sz="0" w:space="0" w:color="auto"/>
                    <w:right w:val="none" w:sz="0" w:space="0" w:color="auto"/>
                  </w:divBdr>
                  <w:divsChild>
                    <w:div w:id="2036811410">
                      <w:marLeft w:val="0"/>
                      <w:marRight w:val="0"/>
                      <w:marTop w:val="0"/>
                      <w:marBottom w:val="0"/>
                      <w:divBdr>
                        <w:top w:val="none" w:sz="0" w:space="0" w:color="auto"/>
                        <w:left w:val="none" w:sz="0" w:space="0" w:color="auto"/>
                        <w:bottom w:val="none" w:sz="0" w:space="0" w:color="auto"/>
                        <w:right w:val="none" w:sz="0" w:space="0" w:color="auto"/>
                      </w:divBdr>
                    </w:div>
                    <w:div w:id="1688290792">
                      <w:marLeft w:val="0"/>
                      <w:marRight w:val="0"/>
                      <w:marTop w:val="0"/>
                      <w:marBottom w:val="0"/>
                      <w:divBdr>
                        <w:top w:val="none" w:sz="0" w:space="0" w:color="auto"/>
                        <w:left w:val="none" w:sz="0" w:space="0" w:color="auto"/>
                        <w:bottom w:val="none" w:sz="0" w:space="0" w:color="auto"/>
                        <w:right w:val="none" w:sz="0" w:space="0" w:color="auto"/>
                      </w:divBdr>
                    </w:div>
                    <w:div w:id="1954245878">
                      <w:marLeft w:val="0"/>
                      <w:marRight w:val="0"/>
                      <w:marTop w:val="0"/>
                      <w:marBottom w:val="0"/>
                      <w:divBdr>
                        <w:top w:val="none" w:sz="0" w:space="0" w:color="auto"/>
                        <w:left w:val="none" w:sz="0" w:space="0" w:color="auto"/>
                        <w:bottom w:val="none" w:sz="0" w:space="0" w:color="auto"/>
                        <w:right w:val="none" w:sz="0" w:space="0" w:color="auto"/>
                      </w:divBdr>
                    </w:div>
                  </w:divsChild>
                </w:div>
                <w:div w:id="2031494419">
                  <w:marLeft w:val="0"/>
                  <w:marRight w:val="0"/>
                  <w:marTop w:val="0"/>
                  <w:marBottom w:val="0"/>
                  <w:divBdr>
                    <w:top w:val="none" w:sz="0" w:space="0" w:color="auto"/>
                    <w:left w:val="none" w:sz="0" w:space="0" w:color="auto"/>
                    <w:bottom w:val="none" w:sz="0" w:space="0" w:color="auto"/>
                    <w:right w:val="none" w:sz="0" w:space="0" w:color="auto"/>
                  </w:divBdr>
                  <w:divsChild>
                    <w:div w:id="571434202">
                      <w:marLeft w:val="0"/>
                      <w:marRight w:val="0"/>
                      <w:marTop w:val="0"/>
                      <w:marBottom w:val="0"/>
                      <w:divBdr>
                        <w:top w:val="none" w:sz="0" w:space="0" w:color="auto"/>
                        <w:left w:val="none" w:sz="0" w:space="0" w:color="auto"/>
                        <w:bottom w:val="none" w:sz="0" w:space="0" w:color="auto"/>
                        <w:right w:val="none" w:sz="0" w:space="0" w:color="auto"/>
                      </w:divBdr>
                    </w:div>
                    <w:div w:id="916088960">
                      <w:marLeft w:val="0"/>
                      <w:marRight w:val="0"/>
                      <w:marTop w:val="0"/>
                      <w:marBottom w:val="0"/>
                      <w:divBdr>
                        <w:top w:val="none" w:sz="0" w:space="0" w:color="auto"/>
                        <w:left w:val="none" w:sz="0" w:space="0" w:color="auto"/>
                        <w:bottom w:val="none" w:sz="0" w:space="0" w:color="auto"/>
                        <w:right w:val="none" w:sz="0" w:space="0" w:color="auto"/>
                      </w:divBdr>
                    </w:div>
                    <w:div w:id="777336716">
                      <w:marLeft w:val="0"/>
                      <w:marRight w:val="0"/>
                      <w:marTop w:val="0"/>
                      <w:marBottom w:val="0"/>
                      <w:divBdr>
                        <w:top w:val="none" w:sz="0" w:space="0" w:color="auto"/>
                        <w:left w:val="none" w:sz="0" w:space="0" w:color="auto"/>
                        <w:bottom w:val="none" w:sz="0" w:space="0" w:color="auto"/>
                        <w:right w:val="none" w:sz="0" w:space="0" w:color="auto"/>
                      </w:divBdr>
                    </w:div>
                    <w:div w:id="111247220">
                      <w:marLeft w:val="0"/>
                      <w:marRight w:val="0"/>
                      <w:marTop w:val="0"/>
                      <w:marBottom w:val="0"/>
                      <w:divBdr>
                        <w:top w:val="none" w:sz="0" w:space="0" w:color="auto"/>
                        <w:left w:val="none" w:sz="0" w:space="0" w:color="auto"/>
                        <w:bottom w:val="none" w:sz="0" w:space="0" w:color="auto"/>
                        <w:right w:val="none" w:sz="0" w:space="0" w:color="auto"/>
                      </w:divBdr>
                    </w:div>
                    <w:div w:id="747002545">
                      <w:marLeft w:val="0"/>
                      <w:marRight w:val="0"/>
                      <w:marTop w:val="0"/>
                      <w:marBottom w:val="0"/>
                      <w:divBdr>
                        <w:top w:val="none" w:sz="0" w:space="0" w:color="auto"/>
                        <w:left w:val="none" w:sz="0" w:space="0" w:color="auto"/>
                        <w:bottom w:val="none" w:sz="0" w:space="0" w:color="auto"/>
                        <w:right w:val="none" w:sz="0" w:space="0" w:color="auto"/>
                      </w:divBdr>
                    </w:div>
                    <w:div w:id="1500342550">
                      <w:marLeft w:val="0"/>
                      <w:marRight w:val="0"/>
                      <w:marTop w:val="0"/>
                      <w:marBottom w:val="0"/>
                      <w:divBdr>
                        <w:top w:val="none" w:sz="0" w:space="0" w:color="auto"/>
                        <w:left w:val="none" w:sz="0" w:space="0" w:color="auto"/>
                        <w:bottom w:val="none" w:sz="0" w:space="0" w:color="auto"/>
                        <w:right w:val="none" w:sz="0" w:space="0" w:color="auto"/>
                      </w:divBdr>
                    </w:div>
                    <w:div w:id="344132179">
                      <w:marLeft w:val="0"/>
                      <w:marRight w:val="0"/>
                      <w:marTop w:val="0"/>
                      <w:marBottom w:val="0"/>
                      <w:divBdr>
                        <w:top w:val="none" w:sz="0" w:space="0" w:color="auto"/>
                        <w:left w:val="none" w:sz="0" w:space="0" w:color="auto"/>
                        <w:bottom w:val="none" w:sz="0" w:space="0" w:color="auto"/>
                        <w:right w:val="none" w:sz="0" w:space="0" w:color="auto"/>
                      </w:divBdr>
                    </w:div>
                    <w:div w:id="175579880">
                      <w:marLeft w:val="0"/>
                      <w:marRight w:val="0"/>
                      <w:marTop w:val="0"/>
                      <w:marBottom w:val="0"/>
                      <w:divBdr>
                        <w:top w:val="none" w:sz="0" w:space="0" w:color="auto"/>
                        <w:left w:val="none" w:sz="0" w:space="0" w:color="auto"/>
                        <w:bottom w:val="none" w:sz="0" w:space="0" w:color="auto"/>
                        <w:right w:val="none" w:sz="0" w:space="0" w:color="auto"/>
                      </w:divBdr>
                    </w:div>
                    <w:div w:id="811409030">
                      <w:marLeft w:val="0"/>
                      <w:marRight w:val="0"/>
                      <w:marTop w:val="0"/>
                      <w:marBottom w:val="0"/>
                      <w:divBdr>
                        <w:top w:val="none" w:sz="0" w:space="0" w:color="auto"/>
                        <w:left w:val="none" w:sz="0" w:space="0" w:color="auto"/>
                        <w:bottom w:val="none" w:sz="0" w:space="0" w:color="auto"/>
                        <w:right w:val="none" w:sz="0" w:space="0" w:color="auto"/>
                      </w:divBdr>
                    </w:div>
                    <w:div w:id="2040623393">
                      <w:marLeft w:val="0"/>
                      <w:marRight w:val="0"/>
                      <w:marTop w:val="0"/>
                      <w:marBottom w:val="0"/>
                      <w:divBdr>
                        <w:top w:val="none" w:sz="0" w:space="0" w:color="auto"/>
                        <w:left w:val="none" w:sz="0" w:space="0" w:color="auto"/>
                        <w:bottom w:val="none" w:sz="0" w:space="0" w:color="auto"/>
                        <w:right w:val="none" w:sz="0" w:space="0" w:color="auto"/>
                      </w:divBdr>
                    </w:div>
                    <w:div w:id="850140093">
                      <w:marLeft w:val="0"/>
                      <w:marRight w:val="0"/>
                      <w:marTop w:val="0"/>
                      <w:marBottom w:val="0"/>
                      <w:divBdr>
                        <w:top w:val="none" w:sz="0" w:space="0" w:color="auto"/>
                        <w:left w:val="none" w:sz="0" w:space="0" w:color="auto"/>
                        <w:bottom w:val="none" w:sz="0" w:space="0" w:color="auto"/>
                        <w:right w:val="none" w:sz="0" w:space="0" w:color="auto"/>
                      </w:divBdr>
                    </w:div>
                    <w:div w:id="701714420">
                      <w:marLeft w:val="0"/>
                      <w:marRight w:val="0"/>
                      <w:marTop w:val="0"/>
                      <w:marBottom w:val="0"/>
                      <w:divBdr>
                        <w:top w:val="none" w:sz="0" w:space="0" w:color="auto"/>
                        <w:left w:val="none" w:sz="0" w:space="0" w:color="auto"/>
                        <w:bottom w:val="none" w:sz="0" w:space="0" w:color="auto"/>
                        <w:right w:val="none" w:sz="0" w:space="0" w:color="auto"/>
                      </w:divBdr>
                    </w:div>
                    <w:div w:id="1884248623">
                      <w:marLeft w:val="0"/>
                      <w:marRight w:val="0"/>
                      <w:marTop w:val="0"/>
                      <w:marBottom w:val="0"/>
                      <w:divBdr>
                        <w:top w:val="none" w:sz="0" w:space="0" w:color="auto"/>
                        <w:left w:val="none" w:sz="0" w:space="0" w:color="auto"/>
                        <w:bottom w:val="none" w:sz="0" w:space="0" w:color="auto"/>
                        <w:right w:val="none" w:sz="0" w:space="0" w:color="auto"/>
                      </w:divBdr>
                    </w:div>
                    <w:div w:id="1774471687">
                      <w:marLeft w:val="0"/>
                      <w:marRight w:val="0"/>
                      <w:marTop w:val="0"/>
                      <w:marBottom w:val="0"/>
                      <w:divBdr>
                        <w:top w:val="none" w:sz="0" w:space="0" w:color="auto"/>
                        <w:left w:val="none" w:sz="0" w:space="0" w:color="auto"/>
                        <w:bottom w:val="none" w:sz="0" w:space="0" w:color="auto"/>
                        <w:right w:val="none" w:sz="0" w:space="0" w:color="auto"/>
                      </w:divBdr>
                    </w:div>
                    <w:div w:id="382094957">
                      <w:marLeft w:val="0"/>
                      <w:marRight w:val="0"/>
                      <w:marTop w:val="0"/>
                      <w:marBottom w:val="0"/>
                      <w:divBdr>
                        <w:top w:val="none" w:sz="0" w:space="0" w:color="auto"/>
                        <w:left w:val="none" w:sz="0" w:space="0" w:color="auto"/>
                        <w:bottom w:val="none" w:sz="0" w:space="0" w:color="auto"/>
                        <w:right w:val="none" w:sz="0" w:space="0" w:color="auto"/>
                      </w:divBdr>
                    </w:div>
                    <w:div w:id="979118501">
                      <w:marLeft w:val="0"/>
                      <w:marRight w:val="0"/>
                      <w:marTop w:val="0"/>
                      <w:marBottom w:val="0"/>
                      <w:divBdr>
                        <w:top w:val="none" w:sz="0" w:space="0" w:color="auto"/>
                        <w:left w:val="none" w:sz="0" w:space="0" w:color="auto"/>
                        <w:bottom w:val="none" w:sz="0" w:space="0" w:color="auto"/>
                        <w:right w:val="none" w:sz="0" w:space="0" w:color="auto"/>
                      </w:divBdr>
                    </w:div>
                    <w:div w:id="999818777">
                      <w:marLeft w:val="0"/>
                      <w:marRight w:val="0"/>
                      <w:marTop w:val="0"/>
                      <w:marBottom w:val="0"/>
                      <w:divBdr>
                        <w:top w:val="none" w:sz="0" w:space="0" w:color="auto"/>
                        <w:left w:val="none" w:sz="0" w:space="0" w:color="auto"/>
                        <w:bottom w:val="none" w:sz="0" w:space="0" w:color="auto"/>
                        <w:right w:val="none" w:sz="0" w:space="0" w:color="auto"/>
                      </w:divBdr>
                    </w:div>
                    <w:div w:id="1690596198">
                      <w:marLeft w:val="0"/>
                      <w:marRight w:val="0"/>
                      <w:marTop w:val="0"/>
                      <w:marBottom w:val="0"/>
                      <w:divBdr>
                        <w:top w:val="none" w:sz="0" w:space="0" w:color="auto"/>
                        <w:left w:val="none" w:sz="0" w:space="0" w:color="auto"/>
                        <w:bottom w:val="none" w:sz="0" w:space="0" w:color="auto"/>
                        <w:right w:val="none" w:sz="0" w:space="0" w:color="auto"/>
                      </w:divBdr>
                    </w:div>
                    <w:div w:id="950480639">
                      <w:marLeft w:val="0"/>
                      <w:marRight w:val="0"/>
                      <w:marTop w:val="0"/>
                      <w:marBottom w:val="0"/>
                      <w:divBdr>
                        <w:top w:val="none" w:sz="0" w:space="0" w:color="auto"/>
                        <w:left w:val="none" w:sz="0" w:space="0" w:color="auto"/>
                        <w:bottom w:val="none" w:sz="0" w:space="0" w:color="auto"/>
                        <w:right w:val="none" w:sz="0" w:space="0" w:color="auto"/>
                      </w:divBdr>
                    </w:div>
                    <w:div w:id="1931769002">
                      <w:marLeft w:val="0"/>
                      <w:marRight w:val="0"/>
                      <w:marTop w:val="0"/>
                      <w:marBottom w:val="0"/>
                      <w:divBdr>
                        <w:top w:val="none" w:sz="0" w:space="0" w:color="auto"/>
                        <w:left w:val="none" w:sz="0" w:space="0" w:color="auto"/>
                        <w:bottom w:val="none" w:sz="0" w:space="0" w:color="auto"/>
                        <w:right w:val="none" w:sz="0" w:space="0" w:color="auto"/>
                      </w:divBdr>
                    </w:div>
                    <w:div w:id="1226260623">
                      <w:marLeft w:val="0"/>
                      <w:marRight w:val="0"/>
                      <w:marTop w:val="0"/>
                      <w:marBottom w:val="0"/>
                      <w:divBdr>
                        <w:top w:val="none" w:sz="0" w:space="0" w:color="auto"/>
                        <w:left w:val="none" w:sz="0" w:space="0" w:color="auto"/>
                        <w:bottom w:val="none" w:sz="0" w:space="0" w:color="auto"/>
                        <w:right w:val="none" w:sz="0" w:space="0" w:color="auto"/>
                      </w:divBdr>
                    </w:div>
                    <w:div w:id="1442342203">
                      <w:marLeft w:val="0"/>
                      <w:marRight w:val="0"/>
                      <w:marTop w:val="0"/>
                      <w:marBottom w:val="0"/>
                      <w:divBdr>
                        <w:top w:val="none" w:sz="0" w:space="0" w:color="auto"/>
                        <w:left w:val="none" w:sz="0" w:space="0" w:color="auto"/>
                        <w:bottom w:val="none" w:sz="0" w:space="0" w:color="auto"/>
                        <w:right w:val="none" w:sz="0" w:space="0" w:color="auto"/>
                      </w:divBdr>
                    </w:div>
                    <w:div w:id="817384360">
                      <w:marLeft w:val="0"/>
                      <w:marRight w:val="0"/>
                      <w:marTop w:val="0"/>
                      <w:marBottom w:val="0"/>
                      <w:divBdr>
                        <w:top w:val="none" w:sz="0" w:space="0" w:color="auto"/>
                        <w:left w:val="none" w:sz="0" w:space="0" w:color="auto"/>
                        <w:bottom w:val="none" w:sz="0" w:space="0" w:color="auto"/>
                        <w:right w:val="none" w:sz="0" w:space="0" w:color="auto"/>
                      </w:divBdr>
                    </w:div>
                    <w:div w:id="445002524">
                      <w:marLeft w:val="0"/>
                      <w:marRight w:val="0"/>
                      <w:marTop w:val="0"/>
                      <w:marBottom w:val="0"/>
                      <w:divBdr>
                        <w:top w:val="none" w:sz="0" w:space="0" w:color="auto"/>
                        <w:left w:val="none" w:sz="0" w:space="0" w:color="auto"/>
                        <w:bottom w:val="none" w:sz="0" w:space="0" w:color="auto"/>
                        <w:right w:val="none" w:sz="0" w:space="0" w:color="auto"/>
                      </w:divBdr>
                    </w:div>
                    <w:div w:id="1366177105">
                      <w:marLeft w:val="0"/>
                      <w:marRight w:val="0"/>
                      <w:marTop w:val="0"/>
                      <w:marBottom w:val="0"/>
                      <w:divBdr>
                        <w:top w:val="none" w:sz="0" w:space="0" w:color="auto"/>
                        <w:left w:val="none" w:sz="0" w:space="0" w:color="auto"/>
                        <w:bottom w:val="none" w:sz="0" w:space="0" w:color="auto"/>
                        <w:right w:val="none" w:sz="0" w:space="0" w:color="auto"/>
                      </w:divBdr>
                    </w:div>
                    <w:div w:id="1885286158">
                      <w:marLeft w:val="0"/>
                      <w:marRight w:val="0"/>
                      <w:marTop w:val="0"/>
                      <w:marBottom w:val="0"/>
                      <w:divBdr>
                        <w:top w:val="none" w:sz="0" w:space="0" w:color="auto"/>
                        <w:left w:val="none" w:sz="0" w:space="0" w:color="auto"/>
                        <w:bottom w:val="none" w:sz="0" w:space="0" w:color="auto"/>
                        <w:right w:val="none" w:sz="0" w:space="0" w:color="auto"/>
                      </w:divBdr>
                    </w:div>
                    <w:div w:id="1280264675">
                      <w:marLeft w:val="0"/>
                      <w:marRight w:val="0"/>
                      <w:marTop w:val="0"/>
                      <w:marBottom w:val="0"/>
                      <w:divBdr>
                        <w:top w:val="none" w:sz="0" w:space="0" w:color="auto"/>
                        <w:left w:val="none" w:sz="0" w:space="0" w:color="auto"/>
                        <w:bottom w:val="none" w:sz="0" w:space="0" w:color="auto"/>
                        <w:right w:val="none" w:sz="0" w:space="0" w:color="auto"/>
                      </w:divBdr>
                    </w:div>
                    <w:div w:id="734547471">
                      <w:marLeft w:val="0"/>
                      <w:marRight w:val="0"/>
                      <w:marTop w:val="0"/>
                      <w:marBottom w:val="0"/>
                      <w:divBdr>
                        <w:top w:val="none" w:sz="0" w:space="0" w:color="auto"/>
                        <w:left w:val="none" w:sz="0" w:space="0" w:color="auto"/>
                        <w:bottom w:val="none" w:sz="0" w:space="0" w:color="auto"/>
                        <w:right w:val="none" w:sz="0" w:space="0" w:color="auto"/>
                      </w:divBdr>
                    </w:div>
                    <w:div w:id="994526269">
                      <w:marLeft w:val="0"/>
                      <w:marRight w:val="0"/>
                      <w:marTop w:val="0"/>
                      <w:marBottom w:val="0"/>
                      <w:divBdr>
                        <w:top w:val="none" w:sz="0" w:space="0" w:color="auto"/>
                        <w:left w:val="none" w:sz="0" w:space="0" w:color="auto"/>
                        <w:bottom w:val="none" w:sz="0" w:space="0" w:color="auto"/>
                        <w:right w:val="none" w:sz="0" w:space="0" w:color="auto"/>
                      </w:divBdr>
                    </w:div>
                    <w:div w:id="1665350658">
                      <w:marLeft w:val="0"/>
                      <w:marRight w:val="0"/>
                      <w:marTop w:val="0"/>
                      <w:marBottom w:val="0"/>
                      <w:divBdr>
                        <w:top w:val="none" w:sz="0" w:space="0" w:color="auto"/>
                        <w:left w:val="none" w:sz="0" w:space="0" w:color="auto"/>
                        <w:bottom w:val="none" w:sz="0" w:space="0" w:color="auto"/>
                        <w:right w:val="none" w:sz="0" w:space="0" w:color="auto"/>
                      </w:divBdr>
                    </w:div>
                    <w:div w:id="984040920">
                      <w:marLeft w:val="0"/>
                      <w:marRight w:val="0"/>
                      <w:marTop w:val="0"/>
                      <w:marBottom w:val="0"/>
                      <w:divBdr>
                        <w:top w:val="none" w:sz="0" w:space="0" w:color="auto"/>
                        <w:left w:val="none" w:sz="0" w:space="0" w:color="auto"/>
                        <w:bottom w:val="none" w:sz="0" w:space="0" w:color="auto"/>
                        <w:right w:val="none" w:sz="0" w:space="0" w:color="auto"/>
                      </w:divBdr>
                    </w:div>
                  </w:divsChild>
                </w:div>
                <w:div w:id="681980983">
                  <w:marLeft w:val="0"/>
                  <w:marRight w:val="0"/>
                  <w:marTop w:val="0"/>
                  <w:marBottom w:val="0"/>
                  <w:divBdr>
                    <w:top w:val="none" w:sz="0" w:space="0" w:color="auto"/>
                    <w:left w:val="none" w:sz="0" w:space="0" w:color="auto"/>
                    <w:bottom w:val="none" w:sz="0" w:space="0" w:color="auto"/>
                    <w:right w:val="none" w:sz="0" w:space="0" w:color="auto"/>
                  </w:divBdr>
                  <w:divsChild>
                    <w:div w:id="1496914361">
                      <w:marLeft w:val="0"/>
                      <w:marRight w:val="0"/>
                      <w:marTop w:val="0"/>
                      <w:marBottom w:val="0"/>
                      <w:divBdr>
                        <w:top w:val="none" w:sz="0" w:space="0" w:color="auto"/>
                        <w:left w:val="none" w:sz="0" w:space="0" w:color="auto"/>
                        <w:bottom w:val="none" w:sz="0" w:space="0" w:color="auto"/>
                        <w:right w:val="none" w:sz="0" w:space="0" w:color="auto"/>
                      </w:divBdr>
                    </w:div>
                    <w:div w:id="1369260636">
                      <w:marLeft w:val="0"/>
                      <w:marRight w:val="0"/>
                      <w:marTop w:val="0"/>
                      <w:marBottom w:val="0"/>
                      <w:divBdr>
                        <w:top w:val="none" w:sz="0" w:space="0" w:color="auto"/>
                        <w:left w:val="none" w:sz="0" w:space="0" w:color="auto"/>
                        <w:bottom w:val="none" w:sz="0" w:space="0" w:color="auto"/>
                        <w:right w:val="none" w:sz="0" w:space="0" w:color="auto"/>
                      </w:divBdr>
                    </w:div>
                    <w:div w:id="1910310805">
                      <w:marLeft w:val="0"/>
                      <w:marRight w:val="0"/>
                      <w:marTop w:val="0"/>
                      <w:marBottom w:val="0"/>
                      <w:divBdr>
                        <w:top w:val="none" w:sz="0" w:space="0" w:color="auto"/>
                        <w:left w:val="none" w:sz="0" w:space="0" w:color="auto"/>
                        <w:bottom w:val="none" w:sz="0" w:space="0" w:color="auto"/>
                        <w:right w:val="none" w:sz="0" w:space="0" w:color="auto"/>
                      </w:divBdr>
                    </w:div>
                    <w:div w:id="1622883771">
                      <w:marLeft w:val="0"/>
                      <w:marRight w:val="0"/>
                      <w:marTop w:val="0"/>
                      <w:marBottom w:val="0"/>
                      <w:divBdr>
                        <w:top w:val="none" w:sz="0" w:space="0" w:color="auto"/>
                        <w:left w:val="none" w:sz="0" w:space="0" w:color="auto"/>
                        <w:bottom w:val="none" w:sz="0" w:space="0" w:color="auto"/>
                        <w:right w:val="none" w:sz="0" w:space="0" w:color="auto"/>
                      </w:divBdr>
                    </w:div>
                    <w:div w:id="1073503686">
                      <w:marLeft w:val="0"/>
                      <w:marRight w:val="0"/>
                      <w:marTop w:val="0"/>
                      <w:marBottom w:val="0"/>
                      <w:divBdr>
                        <w:top w:val="none" w:sz="0" w:space="0" w:color="auto"/>
                        <w:left w:val="none" w:sz="0" w:space="0" w:color="auto"/>
                        <w:bottom w:val="none" w:sz="0" w:space="0" w:color="auto"/>
                        <w:right w:val="none" w:sz="0" w:space="0" w:color="auto"/>
                      </w:divBdr>
                    </w:div>
                  </w:divsChild>
                </w:div>
                <w:div w:id="614487204">
                  <w:marLeft w:val="0"/>
                  <w:marRight w:val="0"/>
                  <w:marTop w:val="0"/>
                  <w:marBottom w:val="0"/>
                  <w:divBdr>
                    <w:top w:val="none" w:sz="0" w:space="0" w:color="auto"/>
                    <w:left w:val="none" w:sz="0" w:space="0" w:color="auto"/>
                    <w:bottom w:val="none" w:sz="0" w:space="0" w:color="auto"/>
                    <w:right w:val="none" w:sz="0" w:space="0" w:color="auto"/>
                  </w:divBdr>
                  <w:divsChild>
                    <w:div w:id="1187452620">
                      <w:marLeft w:val="0"/>
                      <w:marRight w:val="0"/>
                      <w:marTop w:val="0"/>
                      <w:marBottom w:val="0"/>
                      <w:divBdr>
                        <w:top w:val="none" w:sz="0" w:space="0" w:color="auto"/>
                        <w:left w:val="none" w:sz="0" w:space="0" w:color="auto"/>
                        <w:bottom w:val="none" w:sz="0" w:space="0" w:color="auto"/>
                        <w:right w:val="none" w:sz="0" w:space="0" w:color="auto"/>
                      </w:divBdr>
                    </w:div>
                  </w:divsChild>
                </w:div>
                <w:div w:id="132018642">
                  <w:marLeft w:val="0"/>
                  <w:marRight w:val="0"/>
                  <w:marTop w:val="0"/>
                  <w:marBottom w:val="0"/>
                  <w:divBdr>
                    <w:top w:val="none" w:sz="0" w:space="0" w:color="auto"/>
                    <w:left w:val="none" w:sz="0" w:space="0" w:color="auto"/>
                    <w:bottom w:val="none" w:sz="0" w:space="0" w:color="auto"/>
                    <w:right w:val="none" w:sz="0" w:space="0" w:color="auto"/>
                  </w:divBdr>
                  <w:divsChild>
                    <w:div w:id="1008674218">
                      <w:marLeft w:val="0"/>
                      <w:marRight w:val="0"/>
                      <w:marTop w:val="0"/>
                      <w:marBottom w:val="0"/>
                      <w:divBdr>
                        <w:top w:val="none" w:sz="0" w:space="0" w:color="auto"/>
                        <w:left w:val="none" w:sz="0" w:space="0" w:color="auto"/>
                        <w:bottom w:val="none" w:sz="0" w:space="0" w:color="auto"/>
                        <w:right w:val="none" w:sz="0" w:space="0" w:color="auto"/>
                      </w:divBdr>
                    </w:div>
                  </w:divsChild>
                </w:div>
                <w:div w:id="1486123076">
                  <w:marLeft w:val="0"/>
                  <w:marRight w:val="0"/>
                  <w:marTop w:val="0"/>
                  <w:marBottom w:val="0"/>
                  <w:divBdr>
                    <w:top w:val="none" w:sz="0" w:space="0" w:color="auto"/>
                    <w:left w:val="none" w:sz="0" w:space="0" w:color="auto"/>
                    <w:bottom w:val="none" w:sz="0" w:space="0" w:color="auto"/>
                    <w:right w:val="none" w:sz="0" w:space="0" w:color="auto"/>
                  </w:divBdr>
                  <w:divsChild>
                    <w:div w:id="666713044">
                      <w:marLeft w:val="0"/>
                      <w:marRight w:val="0"/>
                      <w:marTop w:val="0"/>
                      <w:marBottom w:val="0"/>
                      <w:divBdr>
                        <w:top w:val="none" w:sz="0" w:space="0" w:color="auto"/>
                        <w:left w:val="none" w:sz="0" w:space="0" w:color="auto"/>
                        <w:bottom w:val="none" w:sz="0" w:space="0" w:color="auto"/>
                        <w:right w:val="none" w:sz="0" w:space="0" w:color="auto"/>
                      </w:divBdr>
                    </w:div>
                  </w:divsChild>
                </w:div>
                <w:div w:id="2123723633">
                  <w:marLeft w:val="0"/>
                  <w:marRight w:val="0"/>
                  <w:marTop w:val="0"/>
                  <w:marBottom w:val="0"/>
                  <w:divBdr>
                    <w:top w:val="none" w:sz="0" w:space="0" w:color="auto"/>
                    <w:left w:val="none" w:sz="0" w:space="0" w:color="auto"/>
                    <w:bottom w:val="none" w:sz="0" w:space="0" w:color="auto"/>
                    <w:right w:val="none" w:sz="0" w:space="0" w:color="auto"/>
                  </w:divBdr>
                  <w:divsChild>
                    <w:div w:id="2111270934">
                      <w:marLeft w:val="0"/>
                      <w:marRight w:val="0"/>
                      <w:marTop w:val="0"/>
                      <w:marBottom w:val="0"/>
                      <w:divBdr>
                        <w:top w:val="none" w:sz="0" w:space="0" w:color="auto"/>
                        <w:left w:val="none" w:sz="0" w:space="0" w:color="auto"/>
                        <w:bottom w:val="none" w:sz="0" w:space="0" w:color="auto"/>
                        <w:right w:val="none" w:sz="0" w:space="0" w:color="auto"/>
                      </w:divBdr>
                    </w:div>
                    <w:div w:id="850296361">
                      <w:marLeft w:val="0"/>
                      <w:marRight w:val="0"/>
                      <w:marTop w:val="0"/>
                      <w:marBottom w:val="0"/>
                      <w:divBdr>
                        <w:top w:val="none" w:sz="0" w:space="0" w:color="auto"/>
                        <w:left w:val="none" w:sz="0" w:space="0" w:color="auto"/>
                        <w:bottom w:val="none" w:sz="0" w:space="0" w:color="auto"/>
                        <w:right w:val="none" w:sz="0" w:space="0" w:color="auto"/>
                      </w:divBdr>
                    </w:div>
                    <w:div w:id="94064012">
                      <w:marLeft w:val="0"/>
                      <w:marRight w:val="0"/>
                      <w:marTop w:val="0"/>
                      <w:marBottom w:val="0"/>
                      <w:divBdr>
                        <w:top w:val="none" w:sz="0" w:space="0" w:color="auto"/>
                        <w:left w:val="none" w:sz="0" w:space="0" w:color="auto"/>
                        <w:bottom w:val="none" w:sz="0" w:space="0" w:color="auto"/>
                        <w:right w:val="none" w:sz="0" w:space="0" w:color="auto"/>
                      </w:divBdr>
                    </w:div>
                    <w:div w:id="16544733">
                      <w:marLeft w:val="0"/>
                      <w:marRight w:val="0"/>
                      <w:marTop w:val="0"/>
                      <w:marBottom w:val="0"/>
                      <w:divBdr>
                        <w:top w:val="none" w:sz="0" w:space="0" w:color="auto"/>
                        <w:left w:val="none" w:sz="0" w:space="0" w:color="auto"/>
                        <w:bottom w:val="none" w:sz="0" w:space="0" w:color="auto"/>
                        <w:right w:val="none" w:sz="0" w:space="0" w:color="auto"/>
                      </w:divBdr>
                    </w:div>
                  </w:divsChild>
                </w:div>
                <w:div w:id="450318908">
                  <w:marLeft w:val="0"/>
                  <w:marRight w:val="0"/>
                  <w:marTop w:val="0"/>
                  <w:marBottom w:val="0"/>
                  <w:divBdr>
                    <w:top w:val="none" w:sz="0" w:space="0" w:color="auto"/>
                    <w:left w:val="none" w:sz="0" w:space="0" w:color="auto"/>
                    <w:bottom w:val="none" w:sz="0" w:space="0" w:color="auto"/>
                    <w:right w:val="none" w:sz="0" w:space="0" w:color="auto"/>
                  </w:divBdr>
                  <w:divsChild>
                    <w:div w:id="1813404916">
                      <w:marLeft w:val="0"/>
                      <w:marRight w:val="0"/>
                      <w:marTop w:val="0"/>
                      <w:marBottom w:val="0"/>
                      <w:divBdr>
                        <w:top w:val="none" w:sz="0" w:space="0" w:color="auto"/>
                        <w:left w:val="none" w:sz="0" w:space="0" w:color="auto"/>
                        <w:bottom w:val="none" w:sz="0" w:space="0" w:color="auto"/>
                        <w:right w:val="none" w:sz="0" w:space="0" w:color="auto"/>
                      </w:divBdr>
                    </w:div>
                  </w:divsChild>
                </w:div>
                <w:div w:id="1873106040">
                  <w:marLeft w:val="0"/>
                  <w:marRight w:val="0"/>
                  <w:marTop w:val="0"/>
                  <w:marBottom w:val="0"/>
                  <w:divBdr>
                    <w:top w:val="none" w:sz="0" w:space="0" w:color="auto"/>
                    <w:left w:val="none" w:sz="0" w:space="0" w:color="auto"/>
                    <w:bottom w:val="none" w:sz="0" w:space="0" w:color="auto"/>
                    <w:right w:val="none" w:sz="0" w:space="0" w:color="auto"/>
                  </w:divBdr>
                  <w:divsChild>
                    <w:div w:id="1736976013">
                      <w:marLeft w:val="0"/>
                      <w:marRight w:val="0"/>
                      <w:marTop w:val="0"/>
                      <w:marBottom w:val="0"/>
                      <w:divBdr>
                        <w:top w:val="none" w:sz="0" w:space="0" w:color="auto"/>
                        <w:left w:val="none" w:sz="0" w:space="0" w:color="auto"/>
                        <w:bottom w:val="none" w:sz="0" w:space="0" w:color="auto"/>
                        <w:right w:val="none" w:sz="0" w:space="0" w:color="auto"/>
                      </w:divBdr>
                    </w:div>
                  </w:divsChild>
                </w:div>
                <w:div w:id="2146042173">
                  <w:marLeft w:val="0"/>
                  <w:marRight w:val="0"/>
                  <w:marTop w:val="0"/>
                  <w:marBottom w:val="0"/>
                  <w:divBdr>
                    <w:top w:val="none" w:sz="0" w:space="0" w:color="auto"/>
                    <w:left w:val="none" w:sz="0" w:space="0" w:color="auto"/>
                    <w:bottom w:val="none" w:sz="0" w:space="0" w:color="auto"/>
                    <w:right w:val="none" w:sz="0" w:space="0" w:color="auto"/>
                  </w:divBdr>
                  <w:divsChild>
                    <w:div w:id="750663190">
                      <w:marLeft w:val="0"/>
                      <w:marRight w:val="0"/>
                      <w:marTop w:val="0"/>
                      <w:marBottom w:val="0"/>
                      <w:divBdr>
                        <w:top w:val="none" w:sz="0" w:space="0" w:color="auto"/>
                        <w:left w:val="none" w:sz="0" w:space="0" w:color="auto"/>
                        <w:bottom w:val="none" w:sz="0" w:space="0" w:color="auto"/>
                        <w:right w:val="none" w:sz="0" w:space="0" w:color="auto"/>
                      </w:divBdr>
                    </w:div>
                  </w:divsChild>
                </w:div>
                <w:div w:id="203373800">
                  <w:marLeft w:val="0"/>
                  <w:marRight w:val="0"/>
                  <w:marTop w:val="0"/>
                  <w:marBottom w:val="0"/>
                  <w:divBdr>
                    <w:top w:val="none" w:sz="0" w:space="0" w:color="auto"/>
                    <w:left w:val="none" w:sz="0" w:space="0" w:color="auto"/>
                    <w:bottom w:val="none" w:sz="0" w:space="0" w:color="auto"/>
                    <w:right w:val="none" w:sz="0" w:space="0" w:color="auto"/>
                  </w:divBdr>
                  <w:divsChild>
                    <w:div w:id="368456117">
                      <w:marLeft w:val="0"/>
                      <w:marRight w:val="0"/>
                      <w:marTop w:val="0"/>
                      <w:marBottom w:val="0"/>
                      <w:divBdr>
                        <w:top w:val="none" w:sz="0" w:space="0" w:color="auto"/>
                        <w:left w:val="none" w:sz="0" w:space="0" w:color="auto"/>
                        <w:bottom w:val="none" w:sz="0" w:space="0" w:color="auto"/>
                        <w:right w:val="none" w:sz="0" w:space="0" w:color="auto"/>
                      </w:divBdr>
                    </w:div>
                  </w:divsChild>
                </w:div>
                <w:div w:id="832335065">
                  <w:marLeft w:val="0"/>
                  <w:marRight w:val="0"/>
                  <w:marTop w:val="0"/>
                  <w:marBottom w:val="0"/>
                  <w:divBdr>
                    <w:top w:val="none" w:sz="0" w:space="0" w:color="auto"/>
                    <w:left w:val="none" w:sz="0" w:space="0" w:color="auto"/>
                    <w:bottom w:val="none" w:sz="0" w:space="0" w:color="auto"/>
                    <w:right w:val="none" w:sz="0" w:space="0" w:color="auto"/>
                  </w:divBdr>
                  <w:divsChild>
                    <w:div w:id="716776592">
                      <w:marLeft w:val="0"/>
                      <w:marRight w:val="0"/>
                      <w:marTop w:val="0"/>
                      <w:marBottom w:val="0"/>
                      <w:divBdr>
                        <w:top w:val="none" w:sz="0" w:space="0" w:color="auto"/>
                        <w:left w:val="none" w:sz="0" w:space="0" w:color="auto"/>
                        <w:bottom w:val="none" w:sz="0" w:space="0" w:color="auto"/>
                        <w:right w:val="none" w:sz="0" w:space="0" w:color="auto"/>
                      </w:divBdr>
                    </w:div>
                  </w:divsChild>
                </w:div>
                <w:div w:id="729573099">
                  <w:marLeft w:val="0"/>
                  <w:marRight w:val="0"/>
                  <w:marTop w:val="0"/>
                  <w:marBottom w:val="0"/>
                  <w:divBdr>
                    <w:top w:val="none" w:sz="0" w:space="0" w:color="auto"/>
                    <w:left w:val="none" w:sz="0" w:space="0" w:color="auto"/>
                    <w:bottom w:val="none" w:sz="0" w:space="0" w:color="auto"/>
                    <w:right w:val="none" w:sz="0" w:space="0" w:color="auto"/>
                  </w:divBdr>
                  <w:divsChild>
                    <w:div w:id="1468284526">
                      <w:marLeft w:val="0"/>
                      <w:marRight w:val="0"/>
                      <w:marTop w:val="0"/>
                      <w:marBottom w:val="0"/>
                      <w:divBdr>
                        <w:top w:val="none" w:sz="0" w:space="0" w:color="auto"/>
                        <w:left w:val="none" w:sz="0" w:space="0" w:color="auto"/>
                        <w:bottom w:val="none" w:sz="0" w:space="0" w:color="auto"/>
                        <w:right w:val="none" w:sz="0" w:space="0" w:color="auto"/>
                      </w:divBdr>
                    </w:div>
                  </w:divsChild>
                </w:div>
                <w:div w:id="519466234">
                  <w:marLeft w:val="0"/>
                  <w:marRight w:val="0"/>
                  <w:marTop w:val="0"/>
                  <w:marBottom w:val="0"/>
                  <w:divBdr>
                    <w:top w:val="none" w:sz="0" w:space="0" w:color="auto"/>
                    <w:left w:val="none" w:sz="0" w:space="0" w:color="auto"/>
                    <w:bottom w:val="none" w:sz="0" w:space="0" w:color="auto"/>
                    <w:right w:val="none" w:sz="0" w:space="0" w:color="auto"/>
                  </w:divBdr>
                  <w:divsChild>
                    <w:div w:id="1523395518">
                      <w:marLeft w:val="0"/>
                      <w:marRight w:val="0"/>
                      <w:marTop w:val="0"/>
                      <w:marBottom w:val="0"/>
                      <w:divBdr>
                        <w:top w:val="none" w:sz="0" w:space="0" w:color="auto"/>
                        <w:left w:val="none" w:sz="0" w:space="0" w:color="auto"/>
                        <w:bottom w:val="none" w:sz="0" w:space="0" w:color="auto"/>
                        <w:right w:val="none" w:sz="0" w:space="0" w:color="auto"/>
                      </w:divBdr>
                    </w:div>
                  </w:divsChild>
                </w:div>
                <w:div w:id="1411658179">
                  <w:marLeft w:val="0"/>
                  <w:marRight w:val="0"/>
                  <w:marTop w:val="0"/>
                  <w:marBottom w:val="0"/>
                  <w:divBdr>
                    <w:top w:val="none" w:sz="0" w:space="0" w:color="auto"/>
                    <w:left w:val="none" w:sz="0" w:space="0" w:color="auto"/>
                    <w:bottom w:val="none" w:sz="0" w:space="0" w:color="auto"/>
                    <w:right w:val="none" w:sz="0" w:space="0" w:color="auto"/>
                  </w:divBdr>
                  <w:divsChild>
                    <w:div w:id="1777943273">
                      <w:marLeft w:val="0"/>
                      <w:marRight w:val="0"/>
                      <w:marTop w:val="0"/>
                      <w:marBottom w:val="0"/>
                      <w:divBdr>
                        <w:top w:val="none" w:sz="0" w:space="0" w:color="auto"/>
                        <w:left w:val="none" w:sz="0" w:space="0" w:color="auto"/>
                        <w:bottom w:val="none" w:sz="0" w:space="0" w:color="auto"/>
                        <w:right w:val="none" w:sz="0" w:space="0" w:color="auto"/>
                      </w:divBdr>
                    </w:div>
                    <w:div w:id="2084333571">
                      <w:marLeft w:val="0"/>
                      <w:marRight w:val="0"/>
                      <w:marTop w:val="0"/>
                      <w:marBottom w:val="0"/>
                      <w:divBdr>
                        <w:top w:val="none" w:sz="0" w:space="0" w:color="auto"/>
                        <w:left w:val="none" w:sz="0" w:space="0" w:color="auto"/>
                        <w:bottom w:val="none" w:sz="0" w:space="0" w:color="auto"/>
                        <w:right w:val="none" w:sz="0" w:space="0" w:color="auto"/>
                      </w:divBdr>
                    </w:div>
                  </w:divsChild>
                </w:div>
                <w:div w:id="792360494">
                  <w:marLeft w:val="0"/>
                  <w:marRight w:val="0"/>
                  <w:marTop w:val="0"/>
                  <w:marBottom w:val="0"/>
                  <w:divBdr>
                    <w:top w:val="none" w:sz="0" w:space="0" w:color="auto"/>
                    <w:left w:val="none" w:sz="0" w:space="0" w:color="auto"/>
                    <w:bottom w:val="none" w:sz="0" w:space="0" w:color="auto"/>
                    <w:right w:val="none" w:sz="0" w:space="0" w:color="auto"/>
                  </w:divBdr>
                  <w:divsChild>
                    <w:div w:id="564265101">
                      <w:marLeft w:val="0"/>
                      <w:marRight w:val="0"/>
                      <w:marTop w:val="0"/>
                      <w:marBottom w:val="0"/>
                      <w:divBdr>
                        <w:top w:val="none" w:sz="0" w:space="0" w:color="auto"/>
                        <w:left w:val="none" w:sz="0" w:space="0" w:color="auto"/>
                        <w:bottom w:val="none" w:sz="0" w:space="0" w:color="auto"/>
                        <w:right w:val="none" w:sz="0" w:space="0" w:color="auto"/>
                      </w:divBdr>
                    </w:div>
                  </w:divsChild>
                </w:div>
                <w:div w:id="95563504">
                  <w:marLeft w:val="0"/>
                  <w:marRight w:val="0"/>
                  <w:marTop w:val="0"/>
                  <w:marBottom w:val="0"/>
                  <w:divBdr>
                    <w:top w:val="none" w:sz="0" w:space="0" w:color="auto"/>
                    <w:left w:val="none" w:sz="0" w:space="0" w:color="auto"/>
                    <w:bottom w:val="none" w:sz="0" w:space="0" w:color="auto"/>
                    <w:right w:val="none" w:sz="0" w:space="0" w:color="auto"/>
                  </w:divBdr>
                  <w:divsChild>
                    <w:div w:id="1991136168">
                      <w:marLeft w:val="0"/>
                      <w:marRight w:val="0"/>
                      <w:marTop w:val="0"/>
                      <w:marBottom w:val="0"/>
                      <w:divBdr>
                        <w:top w:val="none" w:sz="0" w:space="0" w:color="auto"/>
                        <w:left w:val="none" w:sz="0" w:space="0" w:color="auto"/>
                        <w:bottom w:val="none" w:sz="0" w:space="0" w:color="auto"/>
                        <w:right w:val="none" w:sz="0" w:space="0" w:color="auto"/>
                      </w:divBdr>
                    </w:div>
                  </w:divsChild>
                </w:div>
                <w:div w:id="1932659892">
                  <w:marLeft w:val="0"/>
                  <w:marRight w:val="0"/>
                  <w:marTop w:val="0"/>
                  <w:marBottom w:val="0"/>
                  <w:divBdr>
                    <w:top w:val="none" w:sz="0" w:space="0" w:color="auto"/>
                    <w:left w:val="none" w:sz="0" w:space="0" w:color="auto"/>
                    <w:bottom w:val="none" w:sz="0" w:space="0" w:color="auto"/>
                    <w:right w:val="none" w:sz="0" w:space="0" w:color="auto"/>
                  </w:divBdr>
                  <w:divsChild>
                    <w:div w:id="1421829203">
                      <w:marLeft w:val="0"/>
                      <w:marRight w:val="0"/>
                      <w:marTop w:val="0"/>
                      <w:marBottom w:val="0"/>
                      <w:divBdr>
                        <w:top w:val="none" w:sz="0" w:space="0" w:color="auto"/>
                        <w:left w:val="none" w:sz="0" w:space="0" w:color="auto"/>
                        <w:bottom w:val="none" w:sz="0" w:space="0" w:color="auto"/>
                        <w:right w:val="none" w:sz="0" w:space="0" w:color="auto"/>
                      </w:divBdr>
                    </w:div>
                  </w:divsChild>
                </w:div>
                <w:div w:id="1428889129">
                  <w:marLeft w:val="0"/>
                  <w:marRight w:val="0"/>
                  <w:marTop w:val="0"/>
                  <w:marBottom w:val="0"/>
                  <w:divBdr>
                    <w:top w:val="none" w:sz="0" w:space="0" w:color="auto"/>
                    <w:left w:val="none" w:sz="0" w:space="0" w:color="auto"/>
                    <w:bottom w:val="none" w:sz="0" w:space="0" w:color="auto"/>
                    <w:right w:val="none" w:sz="0" w:space="0" w:color="auto"/>
                  </w:divBdr>
                  <w:divsChild>
                    <w:div w:id="1865358584">
                      <w:marLeft w:val="0"/>
                      <w:marRight w:val="0"/>
                      <w:marTop w:val="0"/>
                      <w:marBottom w:val="0"/>
                      <w:divBdr>
                        <w:top w:val="none" w:sz="0" w:space="0" w:color="auto"/>
                        <w:left w:val="none" w:sz="0" w:space="0" w:color="auto"/>
                        <w:bottom w:val="none" w:sz="0" w:space="0" w:color="auto"/>
                        <w:right w:val="none" w:sz="0" w:space="0" w:color="auto"/>
                      </w:divBdr>
                    </w:div>
                  </w:divsChild>
                </w:div>
                <w:div w:id="659045345">
                  <w:marLeft w:val="0"/>
                  <w:marRight w:val="0"/>
                  <w:marTop w:val="0"/>
                  <w:marBottom w:val="0"/>
                  <w:divBdr>
                    <w:top w:val="none" w:sz="0" w:space="0" w:color="auto"/>
                    <w:left w:val="none" w:sz="0" w:space="0" w:color="auto"/>
                    <w:bottom w:val="none" w:sz="0" w:space="0" w:color="auto"/>
                    <w:right w:val="none" w:sz="0" w:space="0" w:color="auto"/>
                  </w:divBdr>
                  <w:divsChild>
                    <w:div w:id="642925507">
                      <w:marLeft w:val="0"/>
                      <w:marRight w:val="0"/>
                      <w:marTop w:val="0"/>
                      <w:marBottom w:val="0"/>
                      <w:divBdr>
                        <w:top w:val="none" w:sz="0" w:space="0" w:color="auto"/>
                        <w:left w:val="none" w:sz="0" w:space="0" w:color="auto"/>
                        <w:bottom w:val="none" w:sz="0" w:space="0" w:color="auto"/>
                        <w:right w:val="none" w:sz="0" w:space="0" w:color="auto"/>
                      </w:divBdr>
                    </w:div>
                  </w:divsChild>
                </w:div>
                <w:div w:id="1573126346">
                  <w:marLeft w:val="0"/>
                  <w:marRight w:val="0"/>
                  <w:marTop w:val="0"/>
                  <w:marBottom w:val="0"/>
                  <w:divBdr>
                    <w:top w:val="none" w:sz="0" w:space="0" w:color="auto"/>
                    <w:left w:val="none" w:sz="0" w:space="0" w:color="auto"/>
                    <w:bottom w:val="none" w:sz="0" w:space="0" w:color="auto"/>
                    <w:right w:val="none" w:sz="0" w:space="0" w:color="auto"/>
                  </w:divBdr>
                  <w:divsChild>
                    <w:div w:id="1082917540">
                      <w:marLeft w:val="0"/>
                      <w:marRight w:val="0"/>
                      <w:marTop w:val="0"/>
                      <w:marBottom w:val="0"/>
                      <w:divBdr>
                        <w:top w:val="none" w:sz="0" w:space="0" w:color="auto"/>
                        <w:left w:val="none" w:sz="0" w:space="0" w:color="auto"/>
                        <w:bottom w:val="none" w:sz="0" w:space="0" w:color="auto"/>
                        <w:right w:val="none" w:sz="0" w:space="0" w:color="auto"/>
                      </w:divBdr>
                    </w:div>
                  </w:divsChild>
                </w:div>
                <w:div w:id="1276475369">
                  <w:marLeft w:val="0"/>
                  <w:marRight w:val="0"/>
                  <w:marTop w:val="0"/>
                  <w:marBottom w:val="0"/>
                  <w:divBdr>
                    <w:top w:val="none" w:sz="0" w:space="0" w:color="auto"/>
                    <w:left w:val="none" w:sz="0" w:space="0" w:color="auto"/>
                    <w:bottom w:val="none" w:sz="0" w:space="0" w:color="auto"/>
                    <w:right w:val="none" w:sz="0" w:space="0" w:color="auto"/>
                  </w:divBdr>
                  <w:divsChild>
                    <w:div w:id="1513180000">
                      <w:marLeft w:val="0"/>
                      <w:marRight w:val="0"/>
                      <w:marTop w:val="0"/>
                      <w:marBottom w:val="0"/>
                      <w:divBdr>
                        <w:top w:val="none" w:sz="0" w:space="0" w:color="auto"/>
                        <w:left w:val="none" w:sz="0" w:space="0" w:color="auto"/>
                        <w:bottom w:val="none" w:sz="0" w:space="0" w:color="auto"/>
                        <w:right w:val="none" w:sz="0" w:space="0" w:color="auto"/>
                      </w:divBdr>
                    </w:div>
                  </w:divsChild>
                </w:div>
                <w:div w:id="2139256449">
                  <w:marLeft w:val="0"/>
                  <w:marRight w:val="0"/>
                  <w:marTop w:val="0"/>
                  <w:marBottom w:val="0"/>
                  <w:divBdr>
                    <w:top w:val="none" w:sz="0" w:space="0" w:color="auto"/>
                    <w:left w:val="none" w:sz="0" w:space="0" w:color="auto"/>
                    <w:bottom w:val="none" w:sz="0" w:space="0" w:color="auto"/>
                    <w:right w:val="none" w:sz="0" w:space="0" w:color="auto"/>
                  </w:divBdr>
                  <w:divsChild>
                    <w:div w:id="1423799217">
                      <w:marLeft w:val="0"/>
                      <w:marRight w:val="0"/>
                      <w:marTop w:val="0"/>
                      <w:marBottom w:val="0"/>
                      <w:divBdr>
                        <w:top w:val="none" w:sz="0" w:space="0" w:color="auto"/>
                        <w:left w:val="none" w:sz="0" w:space="0" w:color="auto"/>
                        <w:bottom w:val="none" w:sz="0" w:space="0" w:color="auto"/>
                        <w:right w:val="none" w:sz="0" w:space="0" w:color="auto"/>
                      </w:divBdr>
                    </w:div>
                  </w:divsChild>
                </w:div>
                <w:div w:id="1141312633">
                  <w:marLeft w:val="0"/>
                  <w:marRight w:val="0"/>
                  <w:marTop w:val="0"/>
                  <w:marBottom w:val="0"/>
                  <w:divBdr>
                    <w:top w:val="none" w:sz="0" w:space="0" w:color="auto"/>
                    <w:left w:val="none" w:sz="0" w:space="0" w:color="auto"/>
                    <w:bottom w:val="none" w:sz="0" w:space="0" w:color="auto"/>
                    <w:right w:val="none" w:sz="0" w:space="0" w:color="auto"/>
                  </w:divBdr>
                  <w:divsChild>
                    <w:div w:id="1328365180">
                      <w:marLeft w:val="0"/>
                      <w:marRight w:val="0"/>
                      <w:marTop w:val="0"/>
                      <w:marBottom w:val="0"/>
                      <w:divBdr>
                        <w:top w:val="none" w:sz="0" w:space="0" w:color="auto"/>
                        <w:left w:val="none" w:sz="0" w:space="0" w:color="auto"/>
                        <w:bottom w:val="none" w:sz="0" w:space="0" w:color="auto"/>
                        <w:right w:val="none" w:sz="0" w:space="0" w:color="auto"/>
                      </w:divBdr>
                    </w:div>
                  </w:divsChild>
                </w:div>
                <w:div w:id="202645492">
                  <w:marLeft w:val="0"/>
                  <w:marRight w:val="0"/>
                  <w:marTop w:val="0"/>
                  <w:marBottom w:val="0"/>
                  <w:divBdr>
                    <w:top w:val="none" w:sz="0" w:space="0" w:color="auto"/>
                    <w:left w:val="none" w:sz="0" w:space="0" w:color="auto"/>
                    <w:bottom w:val="none" w:sz="0" w:space="0" w:color="auto"/>
                    <w:right w:val="none" w:sz="0" w:space="0" w:color="auto"/>
                  </w:divBdr>
                  <w:divsChild>
                    <w:div w:id="2013218054">
                      <w:marLeft w:val="0"/>
                      <w:marRight w:val="0"/>
                      <w:marTop w:val="0"/>
                      <w:marBottom w:val="0"/>
                      <w:divBdr>
                        <w:top w:val="none" w:sz="0" w:space="0" w:color="auto"/>
                        <w:left w:val="none" w:sz="0" w:space="0" w:color="auto"/>
                        <w:bottom w:val="none" w:sz="0" w:space="0" w:color="auto"/>
                        <w:right w:val="none" w:sz="0" w:space="0" w:color="auto"/>
                      </w:divBdr>
                    </w:div>
                  </w:divsChild>
                </w:div>
                <w:div w:id="1952123350">
                  <w:marLeft w:val="0"/>
                  <w:marRight w:val="0"/>
                  <w:marTop w:val="0"/>
                  <w:marBottom w:val="0"/>
                  <w:divBdr>
                    <w:top w:val="none" w:sz="0" w:space="0" w:color="auto"/>
                    <w:left w:val="none" w:sz="0" w:space="0" w:color="auto"/>
                    <w:bottom w:val="none" w:sz="0" w:space="0" w:color="auto"/>
                    <w:right w:val="none" w:sz="0" w:space="0" w:color="auto"/>
                  </w:divBdr>
                  <w:divsChild>
                    <w:div w:id="1974289396">
                      <w:marLeft w:val="0"/>
                      <w:marRight w:val="0"/>
                      <w:marTop w:val="0"/>
                      <w:marBottom w:val="0"/>
                      <w:divBdr>
                        <w:top w:val="none" w:sz="0" w:space="0" w:color="auto"/>
                        <w:left w:val="none" w:sz="0" w:space="0" w:color="auto"/>
                        <w:bottom w:val="none" w:sz="0" w:space="0" w:color="auto"/>
                        <w:right w:val="none" w:sz="0" w:space="0" w:color="auto"/>
                      </w:divBdr>
                    </w:div>
                  </w:divsChild>
                </w:div>
                <w:div w:id="1523207971">
                  <w:marLeft w:val="0"/>
                  <w:marRight w:val="0"/>
                  <w:marTop w:val="0"/>
                  <w:marBottom w:val="0"/>
                  <w:divBdr>
                    <w:top w:val="none" w:sz="0" w:space="0" w:color="auto"/>
                    <w:left w:val="none" w:sz="0" w:space="0" w:color="auto"/>
                    <w:bottom w:val="none" w:sz="0" w:space="0" w:color="auto"/>
                    <w:right w:val="none" w:sz="0" w:space="0" w:color="auto"/>
                  </w:divBdr>
                  <w:divsChild>
                    <w:div w:id="173430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8F5607B545E054A85C7767C4F6BCB2E" ma:contentTypeVersion="8" ma:contentTypeDescription="Izveidot jaunu dokumentu." ma:contentTypeScope="" ma:versionID="e8923d2f7c865012f537d3dc746a9beb">
  <xsd:schema xmlns:xsd="http://www.w3.org/2001/XMLSchema" xmlns:xs="http://www.w3.org/2001/XMLSchema" xmlns:p="http://schemas.microsoft.com/office/2006/metadata/properties" xmlns:ns3="bebc894a-90b2-47c0-8c1e-f613c522c93f" xmlns:ns4="3d9415c8-bafc-4b26-a0b3-d21691683748" targetNamespace="http://schemas.microsoft.com/office/2006/metadata/properties" ma:root="true" ma:fieldsID="5c3757983f573c43b31a3c4e87b552ae" ns3:_="" ns4:_="">
    <xsd:import namespace="bebc894a-90b2-47c0-8c1e-f613c522c93f"/>
    <xsd:import namespace="3d9415c8-bafc-4b26-a0b3-d216916837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c894a-90b2-47c0-8c1e-f613c522c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9415c8-bafc-4b26-a0b3-d216916837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C6FC26-0267-4E7C-B4E2-FC096FCA0220}">
  <ds:schemaRefs>
    <ds:schemaRef ds:uri="http://purl.org/dc/elements/1.1/"/>
    <ds:schemaRef ds:uri="http://www.w3.org/XML/1998/namespace"/>
    <ds:schemaRef ds:uri="http://schemas.microsoft.com/office/2006/metadata/properties"/>
    <ds:schemaRef ds:uri="http://purl.org/dc/terms/"/>
    <ds:schemaRef ds:uri="bebc894a-90b2-47c0-8c1e-f613c522c93f"/>
    <ds:schemaRef ds:uri="http://schemas.microsoft.com/office/2006/documentManagement/types"/>
    <ds:schemaRef ds:uri="http://schemas.microsoft.com/office/infopath/2007/PartnerControls"/>
    <ds:schemaRef ds:uri="http://schemas.openxmlformats.org/package/2006/metadata/core-properties"/>
    <ds:schemaRef ds:uri="3d9415c8-bafc-4b26-a0b3-d21691683748"/>
    <ds:schemaRef ds:uri="http://purl.org/dc/dcmitype/"/>
  </ds:schemaRefs>
</ds:datastoreItem>
</file>

<file path=customXml/itemProps2.xml><?xml version="1.0" encoding="utf-8"?>
<ds:datastoreItem xmlns:ds="http://schemas.openxmlformats.org/officeDocument/2006/customXml" ds:itemID="{7D2AAFDF-1F61-46E9-BF61-6B37466DB996}">
  <ds:schemaRefs>
    <ds:schemaRef ds:uri="http://schemas.microsoft.com/sharepoint/v3/contenttype/forms"/>
  </ds:schemaRefs>
</ds:datastoreItem>
</file>

<file path=customXml/itemProps3.xml><?xml version="1.0" encoding="utf-8"?>
<ds:datastoreItem xmlns:ds="http://schemas.openxmlformats.org/officeDocument/2006/customXml" ds:itemID="{7A30E9E3-C8BB-4989-815A-FD6DC43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c894a-90b2-47c0-8c1e-f613c522c93f"/>
    <ds:schemaRef ds:uri="3d9415c8-bafc-4b26-a0b3-d21691683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9598</Words>
  <Characters>5472</Characters>
  <Application>Microsoft Office Word</Application>
  <DocSecurity>0</DocSecurity>
  <Lines>45</Lines>
  <Paragraphs>30</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Andra Rutkēviča</cp:lastModifiedBy>
  <cp:revision>11</cp:revision>
  <dcterms:created xsi:type="dcterms:W3CDTF">2022-07-20T14:57:00Z</dcterms:created>
  <dcterms:modified xsi:type="dcterms:W3CDTF">2022-07-29T07:03:00Z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0x01010008F5607B545E054A85C7767C4F6BCB2E</vt:lpwstr>
  </property>
</Properties>
</file>