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25. oktobra noteikumos Nr. 691 "Noteikumi par patērētāja kreditēšanu""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25. oktobra noteikumos Nr. 691 "Noteikumi par patērētāja kreditēšanu" (turpmāk – Noteikumu projekts) izstrādāts, lai nodrošinātu Eiropas Parlamenta un Padomes 2023. gada 18. oktobra Direktīvas (ES) 2023/2225 par patērētāju kredītlīgumiem un ar ko atceļ Direktīvu 2008/48/EK (turpmāk – Direktīva 2023/2225) prasību pārņemšanu nacionālajos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patērētāju aizsardzību un pielāgotu mūsdienu attīstībai un tendencēm kreditēšanas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patērētāju kreditēšanas regulējums izstrādāts atbilstoši Eiropas Parlamenta un Padomes 2008. gada 23. aprīļa Direktīvas 2008/48/EK par patēriņa kredītlīgumiem un ar ko atceļ Padomes Direktīvu 87/102/EEK  (turpmāk - Direktīva 2008/48), kā arī nacionālajiem nosacījumiem. Prasības patērētāju kreditēšanai noteiktas Patērētāju tiesību aizsardzības likumā (turpmāk - Likums), kā arī Ministru kabineta 2016.gada 25.oktobra noteikumos Nr.691 "Noteikumi par patērētāja kreditēšanu" (turpmāk - Noteikumi Nr.691).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2008/48 pieņemšanas notikusī straujā tehnoloģiskā attīstība ir radījusi būtiskas izmaiņas patēriņa kredītu tirgū gan piedāvājuma, gan arī pieprasījuma ziņā, piemēram, jaunu produktu parādīšanos un patērētāju uzvedības un izvēles attīstību. Tādēļ regulējums tika pārskatīts ar Direktīvu 2023/2225, lai atrisinātu izaicinājumus, ko radījusi tehnoloģiju attīstība un lai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Direktīvu 2008/48, ir paplašināts tās darbības tvērums. Šobrīd vairāki kreditēšanas līgumu veidi, uz ko neattiecas spēkā esošās prasības patērētāju kreditēšanas jomā, var kaitēt patērētājiem ar to augstajām izmaksām vai augsto maksu kavētu maksājumu gadījumā. Līdz šim atliktie maksājumi un "pērc tagad, maksā vēlāk" piedāvājumi, kas ir jauni digitāli finanšu rīki, kas ļauj patērētājiem veikt pirkumus un atmaksāt tos laika gaitā, nebija pilnā mērā iekļauti Direktīvas 2008/48 tvērumā. Vienlaikus šādi pirkumi bieži vien ir saistīti ar liela apmēra kredītu ar samērā ilgu atmaksas termiņu, tādēļ uz tiem arī būtu attiecināmas patērētāju kreditēšanas regulējuma prasības, tostarp patērētāja spējas atmaksāt kredītu novērtēšana.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augstu patērētāju tiesību aizsardzības līmeni, prasības patērētāju kreditēšanas jomā, kas noteiktas Likumā un Noteikumos Nr.691, turpmāk tiks attiecinātas arī uz tādiem kreditēšanas līgumu veidiem kā kreditēšanas līgumi, ja kredītu piešķir kā pārtēriņa iespēju un ja tas ir jāatmaksā viena mēneša laikā; kreditēšanas līgumi, kuros nav paredzēti ne procenti, ne citas maksas, un kreditēšanas līgumi, kuros paredzēts, ka kredīts jāatmaksā trīs mēnešu laikā un par kuriem tiek prasīta nenozīmīga samaksa.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dažiem atliktajiem maksājumiem, kad preču piegādātājs vai pakalpojumu sniedzējs patērētājam dod laiku samaksāt par preci vai pakalpojumu bez procentiem un bez jebkādām citām maksām, prasības patērētāju kreditēšanas jomā netiks attiecinātas. Taču tikai gadījumā, ja izpildās visi šie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kredīts tiek piešķirts, lai patērētājs norēķinātos par preci vai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netiek iesaistīts cits kredīta devējs, kā tas ir, piemēram, "pērc tagad, maksā vēlāk" gadījumos;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maksājums ir pilnībā jāveic ierobežotā 50 dienu termiņā pēc preces piegādes vai pakalpojuma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atliktie maksājumi ir uzņēmējdarbības prakse, ko parasti izmanto, lai patērētājiem ļautu maksāt tikai pēc preču vai pakalpojumu saņemšanas, kas ir izdevīgi patērētājiem, piemēram, atliktas medicīnisko rēķinu apmaksas gadījumā, kad slimnīcas patērētājiem dod laiku samaksāt medicīniskos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lieliem tiešsaistes preču piegādātājiem vai pakalpojumu sniedzējiem, kuriem ir piekļuve lielam klientu lokam, prasības patērētāju kreditēšanas jomā netiek attiecinātas tikai gadījumos, kad maksājums ir pilnībā jāveic 14 dienu laikā pēc preču piegādes vai pakalpojumu sniegšanas bez procentiem (kā arī bez citu kredīta devēju iesaistīšanas un bez jebkādām citām maksām, izņemot ierobežotas maksas, kas patērētājam jāmaksā par maksājumu kavējumiem). Pretējā gadījumā šādi lieli tiešsaistes piegādātāji atliktus maksājumus varētu piedāvāt ļoti plaši, ņemot vērā to finansiālās spējas, mudinot patērētājus uz impulsīvu iepirkšanos un, iespējams, pārmērīgu patēriņu. Šāds ierobežojums patērētājiem ļautu norēķināties par preci vai pakalpojumu 14 dienu laikā, vienlaikus nodrošinot, ka gadījumos, kad lieli tiešsaistes preču piegādātāji vai pakalpojumu sniedzēji vēlas piešķirt liela apmēra kredītu ar ilgāku atmaksas termiņu, uz tiem attiektos visas prasības patērētāju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Pārsnieguma kredīts (kredīta devējs piešķir patērētājam tiesības izmantot līdzekļus, kas pārsniedz patērētāja norēķinu kontā esošo naudas līdzekļu atlikumu) un pārsniegšana (kreditēšanas līgums, ar kuru saskaņā kredīta devējs klusējot piekritis, ka patērētājs izmanto līdzekļus, kas pārsniedz patērētāja norēķinu kontā esošo naudas līdzekļu atlikumu vai piešķirto pārsnieguma kredītu) ir arvien izplatītāki patēriņa kredītu veidi, tādēļ tiek noteiktas patērētāju tiesības attiecībā uz šiem finanšu produktiem, lai paaugstinātu patērētāju aizsardzības līmeni un nepieļautu viņu nonākšanu pārmērīgās parādsaistībās.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ievērojama pārsniegšana pārsniedz viena mēneša periodu, kredīta devējam nekavējoties jāsniedz patērētājam informācija par pārsniegšanu, tostarp par attiecīgo summu, aizņēmuma likmi un piemērojamām sankcijām, maksām vai nokavējuma procentiem. Regulāras pārsniegšanas gadījumā kredīta devējam būtu jāsniedz patērētājam individuāli ieteikumi (padomi), ja tie ir pieejami, lai palīdzētu patērētājam noteikt lētākas alternatīvas, un jānovirza patērētājs uz konsultāciju pakalpojumiem parādu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informēšanai ir būtiska loma, jo tas ir nepieciešams, lai patērētājs izprastu sniegto pakalpojumu būtību un varētu izdarīt apzinātu izvēli, kas atbilst viņa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patēriņa kredīta standartinformācijas veidlapa tika izstrādāta 2008.gadā un tā neatbilst mūsdienu prasībām tehnoloģiju jomā. Arvien pieprasītākas ir tieši dokumentu digitālās versijas, tādēļ visai būtiskākajai informācijai jābūt pieejamai vienkopus un viegli uztveramai, tai skaitā patērētāja viedierīcē.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plašāk tiek izmantotas mākslīgā intelekta sistēmas, tostarp, personalizējot piedāvājumu konkrētajam patērētājam, bet šobrīd nav paredzēts pienākums patērētāju par to informēt.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patērētājiem, piemēram, pienācīgi paskaidrojumi, informācija, kas sniedzama pirms līguma noslēgšanas, vispārīga informācija un informācija par datubāzu izmantošanu, ir jāsniedz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Pastāvīgam informācijas nesējam, tostarp papīra formāta un sadarbspējīgām, pārnēsājamām un mašīnlasāmām dokumentu digitālajām versijām, būtu jāļauj informāciju adresēt personīgi patērētājam, tam būtu jāļauj patērētājam informāciju uzglabāt tā, lai tā būtu pieejama turpmākai atsaucei, un uz laikposmu, kas atbilst informācijas mērķiem, tam būtu jāļauj uzglabāto informāciju pavairot neizmainītā veidā un tam būtu jānodrošina informācijas lasāmība, lai informāciju varētu izlasīt un uz to atsaukties. Patērētājiem vajadzētu būt iespējai izvēlēties pastāvīgā informācijas nesēja veidu, uz kura saņemt informāciju pirms līguma noslēgšanas un pēc līguma noslēgšanas un uz kura paziņot atcelšanu.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patērētājiem būtu iespēja pieņemt lēmumu, pārzinot visu kredītproduktu piedāvājumu klāstu, vispārīgai informācijai ir svarīga loma patērētāja izglītošanā attiecībā uz pieejamo produktu un pakalpojumu plašo klāstu un to galvenajām iezīmēm. Patērētājiem tiks nodrošināta iespēja jebkurā laikā piekļūt vispārīgai informācijai par pieejamajiem kredītproduktiem.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vispārīgās informācijas, pirms līguma noslēgšanas kredīta devējam ir pienākums sniegt patērētājiem individualizētu informāciju. Patērētājiem lēmums jāpieņem, pilnībā pārzinot faktus, tāpēc viņiem laikus  jāsaņem pienācīga informācija, kas sniedzama pirms līguma noslēgšanas, lai to rūpīgi un nesteidzoties izskatītu sev ērtā laikā, tostarp informāciju par kredīta nosacījumiem un izmaksām un patērētāja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kas sniedzama pirms līguma noslēgšanas, jāsniedz, izmantojot Eiropas patēriņa kredīta standartinformācijas veidlapu. Lai palīdzētu patērētājiem izprast un salīdzināt dažādos piedāvājumus, galvenās ziņas par kredītu ir uzskatāmi jāsniedz minētās veidlapas pirmajā lappusē, tādējādi patērētājiem visa būtiskā informācija būs pieejama vienkopus pat mobilā tālruņa ekrānā. Ja visus būtiskos elementus nevar uzskatāmi norādīt vienā lappusē, tie jānorāda Eiropas patēriņa kredīta standartinformācijas veidlapas pirmajā daļā ne vairāk kā divās lappusēs. Minētajā veidlapā sniegtajai informācijai vajadzētu būt skaidrai, skaidri salasāmai un pielāgotai dažu informācijas nesēju, piemēram, mobilo tālruņu ekrānu, tehniskajiem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precizēts arī informācijas apjoms, kas sniedzams pirms kreditēšanas līguma noslēgšanas un kāds jāiekļauj kreditēšanas līgumā, tai skaitā tiek atjaunota Eiropas patēriņa kredīta standartinformācijas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informācijas, kas sniedzama pirms līguma noslēgšanas, patērētājam tomēr var būt vajadzīga papildu palīdzība, lai izlemtu, kurš kreditēšanas līgums no piedāvātajiem produktiem ir vispiemērotākais viņa vajadzībām un finansiālajam stāvoklim. Tādēļ pirms kreditēšanas līguma noslēgšanas kredīta devēji vai kredīta starpnieki sniedz patērētājiem šādu palīdzību saistībā ar kredītproduktiem, kurus viņi tiem piedāvā, sniedzot pienācīgus bezmaksas paskaidrojumus par attiecīgo informāciju, tostarp par patērētājam personalizēti piedāvāto produktu būtiskajām iezīmēm tā, lai patērētājs varētu izprast to iespējamo ietekmi uz savu ekonomisko stāvokli, tostarp juridiskās un finansiālās sekas, kas var rasties, nepareizi izpildot līgumsaistības. Šādi papildus paskaidrojumi sniedzami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līgumā skaidrā un kodolīgā veidā jāiekļauj visa nepieciešamā informācija, lai patērētājs varētu uzzināt savas tiesības un pienākumus saskaņā ar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aizsardzību augstā līmenī, patērētājam laikus un pirms jebkādām izmaiņām kredītlīguma noteikumos būtu jāsaņem šāda informācija: ierosināto izmaiņu apraksts un attiecīgā gadījumā norāde par to, ka ir nepieciešama patērētāja piekrišana, vai paskaidrojums par to, ka izmaiņas stāsies spēkā uz likuma pamata; minēto izmaiņu ieviešanas termiņš; un patērētājam pieejamie līdzekļi sūdzības iesniegšanai un termiņš, kādā patērētājs var iesniegt sūdzību, kā arī tās kompetentās iestādes nosaukums un adrese, kurai var iesniegt sūdzību.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pirmstermiņa atmaksas gadījumā patērētājam tiek samazinātas kredīta kopējās izmaksas, kas tieši saistītas ar kreditēšanas līguma ilgumu, tomēr nav tieši noteikta kārtība, ka šādas izmaksas būtu samazināmas bez īpašas patērētāja izteiktas vēlmes.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ir tiesības izpildīt savas saistības pirms kreditēšanas līgumā noteiktā termiņa. Saskaņā ar Eiropas Savienības Tiesas (EST) interpretāciju Lexitor nolēmumā [1] patērētāja tiesības uz kredīta kopējo izmaksu samazinājumu patērētājam kredīta pirmstermiņa atmaksas gadījumā ietver visus maksājumus, kas jāveic patērētājam. Patērētājam radīto kredīta kopējo izmaksu samazinājumam jābūt samērīgam ar atlikušo kreditēšanas līguma darbības laiku, un tajā būtu jāiekļauj arī izmaksas, kas nav atkarīgas no minētā kreditēšanas līguma darbības ilguma, tostarp izmaksas, kas ir pilnībā izlietotas kredīta piešķiršanas brīdī, piemēram, komisijas maksa par kredīta līguma noslēgšanu. Tomēr, aprēķinot samazinājumu, nebūtu jāņem vērā nodokļi un nodevas, ko piemērojusi trešā persona un kas ir tieši samaksāti trešajai personai, un kas nav atkarīgi no kreditēšanas līguma darbības ilguma, jo minētās izmaksas nav kredīta devēja noteiktas, tādēļ kredīta devējs tās nevar vienpusēji mainīt. Tomēr, aprēķinot samazinājumu, būtu jāņem vērā maksas, ko kredīta devējs iekasējis par labu trešajai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EST UCBA nolēmumā [2] sniedz interpretāciju Eiropas Parlamenta un Padomes direktīvas 2014/17/ES[2] (2014. gada 4.februāris) par patērētāju kredītlīgumiem saistībā ar mājokļa nekustamo īpašumu un ar ko groza Direktīvas 2008/48/EK un 2013/36/ES un Regulu (ES) Nr. 1093/2010 (turpmāk – Hipotekārās kreditēšanas direktīva) 25.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Spriedumā saistībā ar kredīta kopējām izmaksām, analizējot tiesības, kurām jābūt patērētājam, uzsvērts, ka "Šādos apstākļos šīs tiesības nevar ietvert izmaksas, kas neatkarīgi no līguma darbības ilguma patērētājam ir jāsedz vai nu aizdevējam, vai trešai personai par pakalpojumiem, kas pirmstermiņa atmaksas brīdī jau ir pilnībā 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Pamatprincipi komisijas (citu maksājumu, kas veikti, izsniedzot kredītu) maksas pārrēķina veikšanai  kredīta ātrākas atmaksas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tiesības uz komisijas maksas taisnīgu samazināšanu ir gadījumos, kad pirms termiņa atmaksā kredīta visu atlikušo summu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samazinājums tiek piemērots tādām komisijas maksām, ko patērētājs maksā kredīta devējam un kuras patur kredīta devējs par saviem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Samazinājums neattiecas uz maksājumiem, kuru apmēru nosaka trešās personas un kuras saņem trešā persona (piemēram, maksājumi, kas veicami Ceļu satiksmes drošības direkcijai, ja tiek iegādāts transporta līdzeklis, nodevu maksājumi, maksājumi par iegādājamā īpašuma vērtēšanu u.tml.), un kurus kā papildu pakalpojumus un maksājumus trešai personai kredīta devējs ir atšifrējis, sniedzot informāciju pirms līguma slēgšanas, izņemot gadījumu, kad izmaksas nav iespējams atšifrēt  (uz konkrēto brīdi attiecīgās konkrētās izmaksas, piemēram, par īpašuma apdrošināšanu vai arī tā vērtēšanu nav vēl zināmas, jo būs atkarīgas no klienta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samazinājums neattiecas uz kredīta devēja tādiem saistītajiem papildu pakalpojumiem kā maksājumu pakalpojumi (piemēram, kredīta izmantošanai un norēķinu veikšanai tiek atvērts konts vai izsniegta maksājumu karte, par ko tiek piemērota komisija, bet šos pakalpojumus klients var izmantot arī neatkarīgi no kredīta), izņemot obligātos pakalpojumus, kas iekļaujami kredīta kopējās izmaksās (attiecīgi arī GPL).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maksas pārrēķinu veic proporcionāli kredīta termiņam, ņemot vērā dienu, kad patērētājs ir veicis kredīta atmaksu pilnā apmērā, un vienlaikus ievēro PTAL 8. panta 2.</w:t>
      </w:r>
      <w:r w:rsidR="00000000" w:rsidRPr="00000000" w:rsidDel="00000000">
        <w:rPr>
          <w:vertAlign w:val="superscript"/>
          <w:rtl w:val="0"/>
        </w:rPr>
        <w:t xml:space="preserve">3</w:t>
      </w:r>
      <w:r w:rsidR="00000000" w:rsidRPr="00000000" w:rsidDel="00000000">
        <w:rPr>
          <w:rtl w:val="0"/>
        </w:rPr>
        <w:t xml:space="preserve"> daļā noteikto par kredīta kopējo izmaksu ierobežojumu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vēršoties pie kredīta devēja ar pieteikumu par kredīta ātrāku atmaksu vai arī, ja  patērētājs jau ir veicis kredīta ātrāku atmaksu, bet atmaksas dienā komisijas maksas samazinājums nebija piemērots, patērētājs izsaka lūgumu par komisijas maksas pārrēķinu.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devējam skaidri un saprotami jāinformē patērētāji par viņu tiesībām saņemt komisijas maksas proporcionālu samazinājumu kredīta pirmstermiņa atmaksas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aizdevuma, kas saistīts ar nekustamo īpašumu,  piešķiršanu, komisijas maksa, ja tāda tiek piemērota, un tās apmēra noteikšanas principi katram tirgus dalībniekam var būt atšķirīgi (piemēram, to var ietekmēt kredīta piešķiršanas procesā veicamo pārbaužu un darbību apjoms, piešķirtā kredīta apmērs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kredītlīgumu gadījumā parasti būs vairāki tādi maksājumi, kas saistīti ar nekustamo īpašumu, piemēram, izmaksas par iegādājamā nekustamā īpašuma novērtēšanu, izmaksas par īpašuma tiesību, apgrūtinājumu un citu zemesgrāmatas ierakstu pārbaude un to izvērtēšana pirms kredīta piešķiršanas, ieskatoties valsts vienotajā datorizētajā zemesgrāmatā, izmaksas, kas saistītas ar ķīlas tiesības nostiprināšanu zemesgrāmatā, nekustamā īpašuma apdrošināšanu, būvniecības kredītu gadījumos - būvdarbu tāmes izvērtēšana un būvobjekta apsekošana u.tml. (sniegtais uzskatījums nav izsmeļošs, katrā konkrētā darījumā attiecīgās izmaksas var būt arī atšķirīgas).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tiesības uz komisijas maksas taisnīgu samazināšanu neattiecas uz pakalpojumu, kas nav kreditēšana, piemēram, transportlīdzekļa noma jeb operatīvais līzings, kad saskaņā ar līgumu nav paredzēts, ka līguma darbības laikā transporta līdzeklis tiek izpirkts.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tiesības uz komisijas maksas taisnīgu samazinājumu nav gadījumos, ja patērētājam bijusi piešķirta kredītlīnija, kuru patērētājs līguma darbības termiņa laikā tā arī nav izmantojis.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Patērētājam nav tiesību uz komisijas maksas taisnīgu samazinājumu, ja patērētājs tam kredītkartes ietvaros pieejamo kredītu līguma darbības laikā tā arī nav izmantojis.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EST 2019. gada 11. septembra spriedums lietā Lexitor C-383/18, ECLI:EU:C:2019:702.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EST 2023. gada 9. februāra spriedums lietā UCBA C‑555/21, ECLI:EU:C:2023:78.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biežāk kreditēšanas līgumi tiek noslēgti, izmantojot distances saziņas līdzekļus, kur daļa informācijas jau ir aizpildīta un ne vienmēr ir skaidrs, vai patērētāja ir nepārprotami sniedzis piekrišanu.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Nr.691 tiek papildināti ar 68.</w:t>
      </w:r>
      <w:r w:rsidR="00000000" w:rsidRPr="00000000" w:rsidDel="00000000">
        <w:rPr>
          <w:vertAlign w:val="superscript"/>
          <w:rtl w:val="0"/>
        </w:rPr>
        <w:t xml:space="preserve">1 </w:t>
      </w:r>
      <w:r w:rsidR="00000000" w:rsidRPr="00000000" w:rsidDel="00000000">
        <w:rPr>
          <w:rtl w:val="0"/>
        </w:rPr>
        <w:t xml:space="preserve">un 68.</w:t>
      </w:r>
      <w:r w:rsidR="00000000" w:rsidRPr="00000000" w:rsidDel="00000000">
        <w:rPr>
          <w:vertAlign w:val="superscript"/>
          <w:rtl w:val="0"/>
        </w:rPr>
        <w:t xml:space="preserve">2</w:t>
      </w:r>
      <w:r w:rsidR="00000000" w:rsidRPr="00000000" w:rsidDel="00000000">
        <w:rPr>
          <w:rtl w:val="0"/>
        </w:rPr>
        <w:t xml:space="preserve"> punktu, kurā paredzēts, ka patērētāja piekrišanai jebkāda kreditēšanas līguma noslēgšanai vai papildpakalpojumu iegādei ir jābūt tieši izteiktai.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līgumi un papildpakalpojumi ir jāpiedāvā skaidrā un pārredzamā veidā. Nevajadzētu būt iespējai netieši secināt, ka patērētājs piekrīt noslēgt kreditēšanas līgumu vai iegādāties papildpakalpojumus. Jebkāda šāda patērētāja dota piekrišana ir jādod ar skaidri apstiprinošu darbību, kas nozīmē brīvi sniegtu, konkrētu, apzinātu un viennozīmīgu norādi par patērētāja piekrišanu. Šajā sakarā klusēšana, atturēšanās no darbības vai tāda noklusējuma iespēja kā iepriekš atzīmētas ailes nebūtu jāuzskata par patērētāja dotu piekrišanu.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pret kustamas lietas ķīlu jeb lombarda aizdevuma pakalpojuma administratīvās izmaksas kredītu devējiem rodas neatkarīgi no aizdevuma summas, jo tā pienākumos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normatīvo aktu prasības, kas piemērojamas patērētāja kreditēšanai pret kustamas lietas ķīlu;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filiāles telpu darbību (telpu iegāde vai noma, komunālie pakalpojumi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izmaksāt darbiniekiem atalgojumus;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 patērētāju identifikāciju un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sagatavot līgumu papīra formā un citas administratīvās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patērētāji bieži izvēlas saņemt lombarda aizdevumu nelielā apmērā (līdz 50 </w:t>
      </w:r>
      <w:r w:rsidR="00000000" w:rsidRPr="00000000" w:rsidDel="00000000">
        <w:rPr>
          <w:i w:val="1"/>
          <w:rtl w:val="0"/>
        </w:rPr>
        <w:t xml:space="preserve">euro</w:t>
      </w:r>
      <w:r w:rsidR="00000000" w:rsidRPr="00000000" w:rsidDel="00000000">
        <w:rPr>
          <w:rtl w:val="0"/>
        </w:rPr>
        <w:t xml:space="preserve">) un uz īsu termiņu, jāsecina, ka šādos gadījumos patērētāja veiktie procentu un citi līguma maksājumi, īpaši pirmstermiņa atmaksas gadījumos, faktiski nespēj nosegt kredīta devēja iepriekš minētās izmaksas. Līdz ar to šādu pakalpojumu sniegšana kļūst ekonomiski neizdevīga, apdraudot šī pakalpojuma pieejamību patērētājiem nākotnē.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aizsargātu patērētāju intereses un vienlaikus ļautu kredīta devējiem segt faktiskās izmaksas, noteikumu projektā paredzēts izņēmums, kas ļauj nelielas aizdevuma summas pret kustamas lietas ķīlu gadījumā (līdz 50 </w:t>
      </w:r>
      <w:r w:rsidR="00000000" w:rsidRPr="00000000" w:rsidDel="00000000">
        <w:rPr>
          <w:i w:val="1"/>
          <w:rtl w:val="0"/>
        </w:rPr>
        <w:t xml:space="preserve">euro</w:t>
      </w:r>
      <w:r w:rsidR="00000000" w:rsidRPr="00000000" w:rsidDel="00000000">
        <w:rPr>
          <w:rtl w:val="0"/>
        </w:rPr>
        <w:t xml:space="preserve">) piemērot ierobežota apmēra kompensāciju. Šāda fiksēta kompensācija 5 </w:t>
      </w:r>
      <w:r w:rsidR="00000000" w:rsidRPr="00000000" w:rsidDel="00000000">
        <w:rPr>
          <w:i w:val="1"/>
          <w:rtl w:val="0"/>
        </w:rPr>
        <w:t xml:space="preserve">euro</w:t>
      </w:r>
      <w:r w:rsidR="00000000" w:rsidRPr="00000000" w:rsidDel="00000000">
        <w:rPr>
          <w:rtl w:val="0"/>
        </w:rPr>
        <w:t xml:space="preserve"> apmērā būtu piemērojama tikai gadījumā, ja sākotnējā kredīta summa nepārsniedz 50 </w:t>
      </w:r>
      <w:r w:rsidR="00000000" w:rsidRPr="00000000" w:rsidDel="00000000">
        <w:rPr>
          <w:i w:val="1"/>
          <w:rtl w:val="0"/>
        </w:rPr>
        <w:t xml:space="preserve">euro</w:t>
      </w:r>
      <w:r w:rsidR="00000000" w:rsidRPr="00000000" w:rsidDel="00000000">
        <w:rPr>
          <w:rtl w:val="0"/>
        </w:rPr>
        <w:t xml:space="preserve"> un šajā kompensācijā tiek ieskaitītas jau samaksātās kredīta kopējās izmaksas, tostarp procentu maksājumi. Šāds risinājums nodrošinātu diferencētu pieeju un samērīgumu, novēršot situāciju, kad neliela apmēra lombarda aizdevumi izzūd no tirgus un patērētājiem ir jāieķīlā kustamas lietas lielākā vērtībā nekā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nodaļā iekļautās prasības kreditēšanas reklāmai tiek pārceltas uz Patērētāju tiesību aizsardžibas likumu ar likumprojektu "Grozījumi Patērētāju tiesību aizsardzības likumā" 24-TA-1291.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svītrota noteikumu III nodaļa par prasībām kreditēšanas reklāmai, ņemot vērā, ka Saeimā iesniegtais likumprojekts "Grozījumi Patērētāju tiesību aizsardzības likumā" 24-TA-1291, kurā tiek pārceltas III nodaļas normas, ir apstiprināts trešajā lasījumā. Papildus tam, šis noteikumu projekts tiks virzīts apstiprināšanai Ministru kabinetā tikai pēc likumprojekta "Grozījumi Patērētāju tiesību aizsardzības likumā" 24-TA-3045 apstiprināšanas Saeimā.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Noteikumu projektam būs pozitīva ietekme uz patērētājiem, jo uzlabojoties kreditēšanas videi un patērētāju informētībai, uzlabosies arī saistību izpildes kvalitāte, kā arī samazināsies to gadījumu skaits, kad patērētājs cieš finansiālus zaudējumus.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devējiem tiek paplašināts patērētāja informēšanas pienākums atbilstoši mūsdienu tendencēm - patērētājam ir tiesības izvēlēties, kādā formātā viņš saņem informāciju, kreditēšanas līgumā iekļautajai informācijai ir jābūt skaidri salasāmai un pielāgotai tā informācijas nesēja tehniskajiem ierobežojumiem, kurā tā ir attēlota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atjaunota Eiropas patēriņa kredīta standartinformācijas veidlapa un informācijas izkārtojums tajā.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likumprojektu "Grozījumi Patērētāju tiesību aizsardzības likumā" (24-TA-3045), kurā arī tiek pārņemtas  Eiropas Parlamenta un Padomes 2023. gada 18. oktobra Direktīva (ES) 2023/2225 par patērētāju kredītlīgumiem un ar ko atceļ Direktīvu 2008/48/EK (turpmāk - Direktīva 2023/2225) prasības, kā arī Ministru kabineta noteikumu projektu “Grozījumi Ministru kabineta 2016. gada 13. decembra noteikumos Nr. 772 "Kredīta starpnieku un kredīta starpnieku pārstāvju reģistrācijas noteikumi"” (25-TA-316), ar kuru tiek nodrošināta Direktīvas 2023/2225 37.panta praktiska ieviešana, nosakot starpnieku reģistrēšanās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 (ES) 2023/2225 par patērētāju kredītlīgumiem un ar ko atceļ Direktīvu 2008/48/EK (turpmāk – Direktīva 2023/2225).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tehnoloģiskā attīstība ir radījusi būtiskas izmaiņas patēriņa kredītu tirgū gan piedāvājuma, gan arī pieprasījuma ziņā, piemēram, jaunu produktu parādīšanos un patērētāju uzvedības un izvēles attīstību. Direktīva 2023/2225 pieņemta, lai risinātu izaicinājumus, ko radījusi tehnoloģiju attīstība un lai panāktu augstu patērētāju tiesību aizsardzības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Direktīva (ES) 2023/2225 par patērētāju kredītlīgumiem un ar ko atceļ Direktīvu 2008/48/EK (turpmāk – Direktīva 2023/2225).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Patērētāju tiesību aizsardzības likuma (turpmāk - PTAL) 8.panta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2016. gada 25. oktobra noteikumu Nr.691 "Noteikumi par patērētāja kreditēšanu" (turpmāk - Noteikumi Nr.691)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pirmo daļu, 8.panta 1.</w:t>
            </w:r>
            <w:r w:rsidR="00000000" w:rsidRPr="00000000" w:rsidDel="00000000">
              <w:rPr>
                <w:sz w:val="24"/>
                <w:vertAlign w:val="superscript"/>
                <w:rtl w:val="0"/>
              </w:rPr>
              <w:t xml:space="preserve">1</w:t>
            </w:r>
            <w:r w:rsidR="00000000" w:rsidRPr="00000000" w:rsidDel="00000000">
              <w:rPr>
                <w:sz w:val="24"/>
                <w:rtl w:val="0"/>
              </w:rPr>
              <w:t xml:space="preserve"> daļu, 8.panta 4.</w:t>
            </w:r>
            <w:r w:rsidR="00000000" w:rsidRPr="00000000" w:rsidDel="00000000">
              <w:rPr>
                <w:sz w:val="24"/>
                <w:vertAlign w:val="superscript"/>
                <w:rtl w:val="0"/>
              </w:rPr>
              <w:t xml:space="preserve">3</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3</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41., 42., 42.</w:t>
            </w:r>
            <w:r w:rsidR="00000000" w:rsidRPr="00000000" w:rsidDel="00000000">
              <w:rPr>
                <w:sz w:val="24"/>
                <w:vertAlign w:val="superscript"/>
                <w:rtl w:val="0"/>
              </w:rPr>
              <w:t xml:space="preserve">1</w:t>
            </w:r>
            <w:r w:rsidR="00000000" w:rsidRPr="00000000" w:rsidDel="00000000">
              <w:rPr>
                <w:sz w:val="24"/>
                <w:rtl w:val="0"/>
              </w:rPr>
              <w:t xml:space="preserve">, 42.</w:t>
            </w:r>
            <w:r w:rsidR="00000000" w:rsidRPr="00000000" w:rsidDel="00000000">
              <w:rPr>
                <w:sz w:val="24"/>
                <w:vertAlign w:val="superscript"/>
                <w:rtl w:val="0"/>
              </w:rPr>
              <w:t xml:space="preserve">2</w:t>
            </w:r>
            <w:r w:rsidR="00000000" w:rsidRPr="00000000" w:rsidDel="00000000">
              <w:rPr>
                <w:sz w:val="24"/>
                <w:rtl w:val="0"/>
              </w:rPr>
              <w:t xml:space="preserve">, 42.</w:t>
            </w:r>
            <w:r w:rsidR="00000000" w:rsidRPr="00000000" w:rsidDel="00000000">
              <w:rPr>
                <w:sz w:val="24"/>
                <w:vertAlign w:val="superscript"/>
                <w:rtl w:val="0"/>
              </w:rPr>
              <w:t xml:space="preserve">3 </w:t>
            </w:r>
            <w:r w:rsidR="00000000" w:rsidRPr="00000000" w:rsidDel="00000000">
              <w:rPr>
                <w:sz w:val="24"/>
                <w:rtl w:val="0"/>
              </w:rPr>
              <w:t xml:space="preserve">un 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3</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3.puktu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19.punktu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2.</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10.punktu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20.punktu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1.panta 21.punktu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15.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19.</w:t>
            </w:r>
            <w:r w:rsidR="00000000" w:rsidRPr="00000000" w:rsidDel="00000000">
              <w:rPr>
                <w:sz w:val="24"/>
                <w:vertAlign w:val="superscript"/>
                <w:rtl w:val="0"/>
              </w:rPr>
              <w:t xml:space="preserve">1</w:t>
            </w:r>
            <w:r w:rsidR="00000000" w:rsidRPr="00000000" w:rsidDel="00000000">
              <w:rPr>
                <w:sz w:val="24"/>
                <w:rtl w:val="0"/>
              </w:rPr>
              <w:t xml:space="preserve">,  20., 20.</w:t>
            </w:r>
            <w:r w:rsidR="00000000" w:rsidRPr="00000000" w:rsidDel="00000000">
              <w:rPr>
                <w:sz w:val="20"/>
                <w:vertAlign w:val="superscript"/>
                <w:rtl w:val="0"/>
              </w:rPr>
              <w:t xml:space="preserve">2</w:t>
            </w:r>
            <w:r w:rsidR="00000000" w:rsidRPr="00000000" w:rsidDel="00000000">
              <w:rPr>
                <w:sz w:val="24"/>
                <w:rtl w:val="0"/>
              </w:rPr>
              <w:t xml:space="preserve">, 22.</w:t>
            </w:r>
            <w:r w:rsidR="00000000" w:rsidRPr="00000000" w:rsidDel="00000000">
              <w:rPr>
                <w:sz w:val="24"/>
                <w:vertAlign w:val="superscript"/>
                <w:rtl w:val="0"/>
              </w:rPr>
              <w:t xml:space="preserve">2</w:t>
            </w:r>
            <w:r w:rsidR="00000000" w:rsidRPr="00000000" w:rsidDel="00000000">
              <w:rPr>
                <w:sz w:val="24"/>
                <w:rtl w:val="0"/>
              </w:rPr>
              <w:t xml:space="preserve">11, 22.</w:t>
            </w:r>
            <w:r w:rsidR="00000000" w:rsidRPr="00000000" w:rsidDel="00000000">
              <w:rPr>
                <w:sz w:val="24"/>
                <w:vertAlign w:val="superscript"/>
                <w:rtl w:val="0"/>
              </w:rPr>
              <w:t xml:space="preserve">2</w:t>
            </w:r>
            <w:r w:rsidR="00000000" w:rsidRPr="00000000" w:rsidDel="00000000">
              <w:rPr>
                <w:sz w:val="24"/>
                <w:rtl w:val="0"/>
              </w:rPr>
              <w:t xml:space="preserve">12, 26., 30., 42.</w:t>
            </w:r>
            <w:r w:rsidR="00000000" w:rsidRPr="00000000" w:rsidDel="00000000">
              <w:rPr>
                <w:sz w:val="24"/>
                <w:vertAlign w:val="superscript"/>
                <w:rtl w:val="0"/>
              </w:rPr>
              <w:t xml:space="preserve">1</w:t>
            </w:r>
            <w:r w:rsidR="00000000" w:rsidRPr="00000000" w:rsidDel="00000000">
              <w:rPr>
                <w:sz w:val="24"/>
                <w:rtl w:val="0"/>
              </w:rPr>
              <w:t xml:space="preserve">, 47., 48., 56.9., 56.10., 57. un 95.</w:t>
            </w:r>
            <w:r w:rsidR="00000000" w:rsidRPr="00000000" w:rsidDel="00000000">
              <w:rPr>
                <w:sz w:val="24"/>
                <w:vertAlign w:val="superscript"/>
                <w:rtl w:val="0"/>
              </w:rPr>
              <w:t xml:space="preserve">2</w:t>
            </w:r>
            <w:r w:rsidR="00000000" w:rsidRPr="00000000" w:rsidDel="00000000">
              <w:rPr>
                <w:sz w:val="24"/>
                <w:rtl w:val="0"/>
              </w:rPr>
              <w:t xml:space="preserve">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3.</w:t>
            </w:r>
            <w:r w:rsidR="00000000" w:rsidRPr="00000000" w:rsidDel="00000000">
              <w:rPr>
                <w:sz w:val="24"/>
                <w:vertAlign w:val="superscript"/>
                <w:rtl w:val="0"/>
              </w:rPr>
              <w:t xml:space="preserve">1 </w:t>
            </w:r>
            <w:r w:rsidR="00000000" w:rsidRPr="00000000" w:rsidDel="00000000">
              <w:rPr>
                <w:sz w:val="24"/>
                <w:rtl w:val="0"/>
              </w:rPr>
              <w:t xml:space="preserve">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19.</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19.</w:t>
            </w:r>
            <w:r w:rsidR="00000000" w:rsidRPr="00000000" w:rsidDel="00000000">
              <w:rPr>
                <w:sz w:val="24"/>
                <w:vertAlign w:val="superscript"/>
                <w:rtl w:val="0"/>
              </w:rPr>
              <w:t xml:space="preserve">2</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20.</w:t>
            </w:r>
            <w:r w:rsidR="00000000" w:rsidRPr="00000000" w:rsidDel="00000000">
              <w:rPr>
                <w:sz w:val="20"/>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30.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41.punkts, 42.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42.</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47.</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w:t>
            </w:r>
            <w:r w:rsidR="00000000" w:rsidRPr="00000000" w:rsidDel="00000000">
              <w:rPr>
                <w:sz w:val="24"/>
                <w:vertAlign w:val="superscript"/>
                <w:rtl w:val="0"/>
              </w:rPr>
              <w:t xml:space="preserve">5</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3.</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68.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68.</w:t>
            </w:r>
            <w:r w:rsidR="00000000" w:rsidRPr="00000000" w:rsidDel="00000000">
              <w:rPr>
                <w:sz w:val="24"/>
                <w:vertAlign w:val="superscript"/>
                <w:rtl w:val="0"/>
              </w:rPr>
              <w:t xml:space="preserve">1</w:t>
            </w:r>
            <w:r w:rsidR="00000000" w:rsidRPr="00000000" w:rsidDel="00000000">
              <w:rPr>
                <w:sz w:val="24"/>
                <w:rtl w:val="0"/>
              </w:rPr>
              <w:t xml:space="preserve"> un 68.</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49., 50., 51. un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15.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48.punkts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1.</w:t>
            </w:r>
            <w:r w:rsidR="00000000" w:rsidRPr="00000000" w:rsidDel="00000000">
              <w:rPr>
                <w:sz w:val="24"/>
                <w:vertAlign w:val="superscript"/>
                <w:rtl w:val="0"/>
              </w:rPr>
              <w:t xml:space="preserve">6</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10</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4</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Civillikuma 1587. un 1589.pants. Pilnībā tiks pārņemtas ar PTAL 6.panta trešās daļas 8. un 12.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13 </w:t>
            </w:r>
            <w:r w:rsidR="00000000" w:rsidRPr="00000000" w:rsidDel="00000000">
              <w:rPr>
                <w:sz w:val="24"/>
                <w:rtl w:val="0"/>
              </w:rPr>
              <w:t xml:space="preserve">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4</w:t>
            </w:r>
            <w:r w:rsidR="00000000" w:rsidRPr="00000000" w:rsidDel="00000000">
              <w:rPr>
                <w:sz w:val="24"/>
                <w:rtl w:val="0"/>
              </w:rPr>
              <w:t xml:space="preserve">, 4.</w:t>
            </w:r>
            <w:r w:rsidR="00000000" w:rsidRPr="00000000" w:rsidDel="00000000">
              <w:rPr>
                <w:sz w:val="24"/>
                <w:vertAlign w:val="superscript"/>
                <w:rtl w:val="0"/>
              </w:rPr>
              <w:t xml:space="preserve">14</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7</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Kredītinformācijas biroja likuma (turpmāk - KIBL) 5. un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12.pants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4.</w:t>
            </w:r>
            <w:r w:rsidR="00000000" w:rsidRPr="00000000" w:rsidDel="00000000">
              <w:rPr>
                <w:sz w:val="24"/>
                <w:vertAlign w:val="superscript"/>
                <w:rtl w:val="0"/>
              </w:rPr>
              <w:t xml:space="preserve">4</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11.,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KIBL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56. un 56.</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90.</w:t>
            </w:r>
            <w:r w:rsidR="00000000" w:rsidRPr="00000000" w:rsidDel="00000000">
              <w:rPr>
                <w:sz w:val="24"/>
                <w:vertAlign w:val="superscript"/>
                <w:rtl w:val="0"/>
              </w:rPr>
              <w:t xml:space="preserve">1</w:t>
            </w:r>
            <w:r w:rsidR="00000000" w:rsidRPr="00000000" w:rsidDel="00000000">
              <w:rPr>
                <w:sz w:val="24"/>
                <w:rtl w:val="0"/>
              </w:rPr>
              <w:t xml:space="preserve">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95.</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w:t>
            </w:r>
            <w:r w:rsidR="00000000" w:rsidRPr="00000000" w:rsidDel="00000000">
              <w:rPr>
                <w:sz w:val="24"/>
                <w:vertAlign w:val="superscript"/>
                <w:rtl w:val="0"/>
              </w:rPr>
              <w:t xml:space="preserve">1</w:t>
            </w:r>
            <w:r w:rsidR="00000000" w:rsidRPr="00000000" w:rsidDel="00000000">
              <w:rPr>
                <w:sz w:val="24"/>
                <w:rtl w:val="0"/>
              </w:rPr>
              <w:t xml:space="preserve"> un 96.</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96.</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desmito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vienpadsmito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otro, trešo un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 </w:t>
            </w:r>
            <w:r w:rsidR="00000000" w:rsidRPr="00000000" w:rsidDel="00000000">
              <w:rPr>
                <w:sz w:val="24"/>
                <w:rtl w:val="0"/>
              </w:rPr>
              <w:t xml:space="preserve">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12.</w:t>
            </w:r>
            <w:r w:rsidR="00000000" w:rsidRPr="00000000" w:rsidDel="00000000">
              <w:rPr>
                <w:sz w:val="24"/>
                <w:vertAlign w:val="superscript"/>
                <w:rtl w:val="0"/>
              </w:rPr>
              <w:t xml:space="preserve">1</w:t>
            </w:r>
            <w:r w:rsidR="00000000" w:rsidRPr="00000000" w:rsidDel="00000000">
              <w:rPr>
                <w:sz w:val="24"/>
                <w:rtl w:val="0"/>
              </w:rPr>
              <w:t xml:space="preserve"> panta sesto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31.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31.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8.panta 2.</w:t>
            </w:r>
            <w:r w:rsidR="00000000" w:rsidRPr="00000000" w:rsidDel="00000000">
              <w:rPr>
                <w:sz w:val="24"/>
                <w:vertAlign w:val="superscript"/>
                <w:rtl w:val="0"/>
              </w:rPr>
              <w:t xml:space="preserve">2</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w:t>
            </w:r>
            <w:r w:rsidR="00000000" w:rsidRPr="00000000" w:rsidDel="00000000">
              <w:rPr>
                <w:sz w:val="24"/>
                <w:vertAlign w:val="superscript"/>
                <w:rtl w:val="0"/>
              </w:rPr>
              <w:t xml:space="preserve">3</w:t>
            </w:r>
            <w:r w:rsidR="00000000" w:rsidRPr="00000000" w:rsidDel="00000000">
              <w:rPr>
                <w:sz w:val="24"/>
                <w:rtl w:val="0"/>
              </w:rPr>
              <w:t xml:space="preserve"> un 2.6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15. un 17.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18.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19.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20.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21.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22.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23.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25. panta 6.</w:t>
            </w:r>
            <w:r w:rsidR="00000000" w:rsidRPr="00000000" w:rsidDel="00000000">
              <w:rPr>
                <w:sz w:val="24"/>
                <w:vertAlign w:val="superscript"/>
                <w:rtl w:val="0"/>
              </w:rPr>
              <w:t xml:space="preserve">1</w:t>
            </w:r>
            <w:r w:rsidR="00000000" w:rsidRPr="00000000" w:rsidDel="00000000">
              <w:rPr>
                <w:sz w:val="24"/>
                <w:rtl w:val="0"/>
              </w:rPr>
              <w:t xml:space="preserve"> un 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16.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24. un 25.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26.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w:t>
            </w:r>
            <w:r w:rsidR="00000000" w:rsidRPr="00000000" w:rsidDel="00000000">
              <w:rPr>
                <w:sz w:val="24"/>
                <w:vertAlign w:val="superscript"/>
                <w:rtl w:val="0"/>
              </w:rPr>
              <w:t xml:space="preserve">1</w:t>
            </w:r>
            <w:r w:rsidR="00000000" w:rsidRPr="00000000" w:rsidDel="00000000">
              <w:rPr>
                <w:sz w:val="24"/>
                <w:rtl w:val="0"/>
              </w:rPr>
              <w:t xml:space="preserve">, 1.</w:t>
            </w:r>
            <w:r w:rsidR="00000000" w:rsidRPr="00000000" w:rsidDel="00000000">
              <w:rPr>
                <w:sz w:val="24"/>
                <w:vertAlign w:val="superscript"/>
                <w:rtl w:val="0"/>
              </w:rPr>
              <w:t xml:space="preserve">2</w:t>
            </w:r>
            <w:r w:rsidR="00000000" w:rsidRPr="00000000" w:rsidDel="00000000">
              <w:rPr>
                <w:sz w:val="24"/>
                <w:rtl w:val="0"/>
              </w:rPr>
              <w:t xml:space="preserve"> un 1.</w:t>
            </w:r>
            <w:r w:rsidR="00000000" w:rsidRPr="00000000" w:rsidDel="00000000">
              <w:rPr>
                <w:sz w:val="24"/>
                <w:vertAlign w:val="superscript"/>
                <w:rtl w:val="0"/>
              </w:rPr>
              <w:t xml:space="preserve">3</w:t>
            </w:r>
            <w:r w:rsidR="00000000" w:rsidRPr="00000000" w:rsidDel="00000000">
              <w:rPr>
                <w:sz w:val="24"/>
                <w:rtl w:val="0"/>
              </w:rPr>
              <w:t xml:space="preserve"> daļu, 8.</w:t>
            </w:r>
            <w:r w:rsidR="00000000" w:rsidRPr="00000000" w:rsidDel="00000000">
              <w:rPr>
                <w:sz w:val="24"/>
                <w:vertAlign w:val="superscript"/>
                <w:rtl w:val="0"/>
              </w:rPr>
              <w:t xml:space="preserve">2</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1.</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Nr.691 111., 112. un 113.punkts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Civillikuma 1808.pants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Pilnībā tiks pārņemtas ar PTAL 8. panta 27.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Patērētāju ārpustiesas strīdu risinātāju likuma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Pārņemšanu nodrošina PTAL 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Tieslietu ministrija, Latvijas Banka, 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Kredītinformācijas Birojs, AS CREFO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25-TA-238</w:t>
    </w:r>
    <w:r>
      <w:br/>
    </w:r>
    <w:r w:rsidR="00000000" w:rsidRPr="00000000" w:rsidDel="00000000">
      <w:rPr>
        <w:rtl w:val="0"/>
      </w:rPr>
      <w:t xml:space="preserve">Izdrukāts 21.08.2026. 23.32 - 4.0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25-TA-238</w:t>
    </w:r>
    <w:r>
      <w:br/>
    </w:r>
    <w:r w:rsidR="00000000" w:rsidRPr="00000000" w:rsidDel="00000000">
      <w:rPr>
        <w:rtl w:val="0"/>
      </w:rPr>
      <w:t xml:space="preserve">Izdrukāts 21.08.2026. 23.32 - 4.0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anotācija_(ex_ante)_25-TA-238.docx</dc:title>
</cp:coreProperties>
</file>

<file path=docProps/custom.xml><?xml version="1.0" encoding="utf-8"?>
<Properties xmlns="http://schemas.openxmlformats.org/officeDocument/2006/custom-properties" xmlns:vt="http://schemas.openxmlformats.org/officeDocument/2006/docPropsVTypes"/>
</file>