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1.1.1.6. pasākuma "Zinātniskās darbības digitalizācija un dalība Eiropas Atvērtajā zinātnes mākonī"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1.1.1. specifiskā atbalsta mērķa “Pētniecības un inovāciju kapacitātes stiprināšana un progresīvu tehnoloģiju ieviešana  kopējā P&amp;A sistēmā” 1.1.1.6. pasākuma “Zinātniskās darbības digitalizācija un  dalība Eiropas Atvērtajā zinātnes mākonī” īstenošanas noteikumi” (turpmāk – noteikumu projekts) ir izstrādāts pēc Izglītības un zinātnes ministrijas  (turpmāk – IZM) iniciatīvas un saskaņā ar Eiropas Savienības fondu 2021.–2027. gada plānošanas perioda vadības likuma 19. panta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1.1.1.6. pasākuma “Zinātniskās darbības digitalizācija un  dalība Eiropas Atvērtajā zinātnes mākonī” (turpmāk – 1.1.1.6. pasākums)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(turpmāk – NAP2027) iezīmē, lai īstenotu atvērtās zinātnes koncepciju praksē </w:t>
      </w:r>
      <w:r w:rsidR="00000000" w:rsidRPr="00000000" w:rsidDel="00000000">
        <w:rPr>
          <w:b w:val="1"/>
          <w:rtl w:val="0"/>
        </w:rPr>
        <w:t xml:space="preserve">ir nepieciešams īpašs datu mākonis zinātniskajiem datiem</w:t>
      </w:r>
      <w:r w:rsidR="00000000" w:rsidRPr="00000000" w:rsidDel="00000000">
        <w:rPr>
          <w:rtl w:val="0"/>
        </w:rPr>
        <w:t xml:space="preserve">. NAP2027 nosaka uzdevumu Nr. 143 zinātnes digitalizācijā un dalībai Eiropas Atvērtajā zinātnes mākonī “Zinātnes izcilības stiprināšana sabiedrības izaicinājumu risināšanai, attīstot un koplietojot nacionālas nozīmes pētniecības infrastruktūru un stratēģiski iesaistoties, tai skaitā iesaistot diasporas zinātniekus, (līdzfinansēšana, pārfinansēšana, papildinošās darbības) Eiropas un pasaules pētniecības un inovāciju iniciatīvās un pasākumos, kas stiprina P&amp;A sistēmas konkurētspēju un starptautisko atvērtību”. Nozīmīga zinātnes infrastruktūru daļa ir t.s. e-infrastruktūras (skat. piem. https://e-irg.eu/)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Starptautiskajā zinātnē aizvien plašāk tiek ieviestas atvērtās zinātnes prakses, tostarp tādas kā pētniecības datu publicēšana un atkārtota pielietošana, kas ir kā </w:t>
      </w:r>
      <w:r w:rsidR="00000000" w:rsidRPr="00000000" w:rsidDel="00000000">
        <w:rPr>
          <w:b w:val="1"/>
          <w:rtl w:val="0"/>
        </w:rPr>
        <w:t xml:space="preserve">priekšnosacījums dalībai Eiropas Savienības (turpmāk – ES) pētniecības un inovāciju pamatprogrammā "Apvārsnis Eiropa" (turpmāk – Apvārsnis Eiropa)</w:t>
      </w:r>
      <w:r w:rsidR="00000000" w:rsidRPr="00000000" w:rsidDel="00000000">
        <w:rPr>
          <w:rtl w:val="0"/>
        </w:rPr>
        <w:t xml:space="preserve">. Publiski finansētiem datiem ir jābūt pieejamiem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tehnoloģijas attīstības un inovācijas pamatnostādnes 2021.–2027. gadam (turpmāk – ZTAIP2027) 1.3. rīcības virziens iezīmē nepieciešamību Latvijai nostabilizēt savu vietu un atpazīstamību pasaules mērogā kā valstij ar uzticamām, augstas kvalitātes un sadarbībai atvērtām zinātniskajām institūcijām un talantiem. Latvijas pilnvērtīgai integrācijai Eiropas un pasaules pētniecības telpā </w:t>
      </w:r>
      <w:r w:rsidR="00000000" w:rsidRPr="00000000" w:rsidDel="00000000">
        <w:rPr>
          <w:b w:val="1"/>
          <w:rtl w:val="0"/>
        </w:rPr>
        <w:t xml:space="preserve">nepieciešama mērķtiecīga un stratēģiska iesaiste starptautiskos sadarbības tīklos un pētniecības infrastruktūru platformās, kā arī Apvārsnis Eiropa pētniecības konsorcijos un citās starptautiskās programmās</w:t>
      </w:r>
      <w:r w:rsidR="00000000" w:rsidRPr="00000000" w:rsidDel="00000000">
        <w:rPr>
          <w:rtl w:val="0"/>
        </w:rPr>
        <w:t xml:space="preserve">, kas nodrošinās zināšanu apriti, piekļuvi plašākiem un daudzveidīgākiem resursiem un iespēju līdzvērtīgi darboties pasaules zinātnes un inovācijas norisēs.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 zinātne (Open science) ir zinātniskā procesa pieeja, kas nodrošina publikāciju un pētījumu datu publisku pieejamību digitālā formātā bez ierobežojumiem vai ar minimāliem ierobežojumiem, kā arī padziļinātu sabiedrības iesaisti pētniecības procesā. </w:t>
      </w:r>
      <w:r w:rsidR="00000000" w:rsidRPr="00000000" w:rsidDel="00000000">
        <w:rPr>
          <w:b w:val="1"/>
          <w:rtl w:val="0"/>
        </w:rPr>
        <w:t xml:space="preserve">Atvērtā zinātne ir sabiedrības un valsts ieguldījums, tāpēc zinātnes rezultātiem jābūt pieejamiem katram</w:t>
      </w:r>
      <w:r w:rsidR="00000000" w:rsidRPr="00000000" w:rsidDel="00000000">
        <w:rPr>
          <w:rtl w:val="0"/>
        </w:rPr>
        <w:t xml:space="preserve"> – zinātniskām publikācijām, pētniecības datiem jābūt atkārtoti lietojamiem gan pētniecības, gan uzņēmējdarbības nolūkiem, kur tiek ievērots princips – dati atvērti pēc noklusējuma, aizvērti pēc nepieciešamības. </w:t>
      </w:r>
      <w:r w:rsidR="00000000" w:rsidRPr="00000000" w:rsidDel="00000000">
        <w:rPr>
          <w:b w:val="1"/>
          <w:rtl w:val="0"/>
        </w:rPr>
        <w:t xml:space="preserve">Atvērtā zinātne veicina pētījumu atpazīstamību un lietojumu, un jaunu sadarbību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līmenī būtiska iniciatīva pētniecības datu pārvaldības tehnoloģiju attīstībā un izmantošanā ir Eiropas Atvērtās zinātnes mākonis (European Open Science Cloud, turpmāk – EOSC). EOSC mērķis ir nodrošināt ES valstu pētniekiem uzticamu, atvērtu vidi pētniecības datu un rezultātu uzglabāšanai, pieejamībai un atkārtotai izmantošanai. </w:t>
      </w:r>
      <w:r w:rsidR="00000000" w:rsidRPr="00000000" w:rsidDel="00000000">
        <w:rPr>
          <w:b w:val="1"/>
          <w:rtl w:val="0"/>
        </w:rPr>
        <w:t xml:space="preserve"> EOSC nodrošina Atvērtās zinātnes mērķu un principu īstenošanu un veido datu platformu Eiropas pētniekiem, nodrošinot datus mākoņa tehnoloģijā</w:t>
      </w:r>
      <w:r w:rsidR="00000000" w:rsidRPr="00000000" w:rsidDel="00000000">
        <w:rPr>
          <w:rtl w:val="0"/>
        </w:rPr>
        <w:t xml:space="preserve">. Pasaules mērogā pētniecības datu atbildīgu pārvaldību veicina Pētniecības datu alianse[1] (Research Data Alliance), kas veicina kopīgu izpratni par pētniecības datu pārvaldības standartiem un praksēm.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Apvārsnis Eiropa ietvaros īsteno vairākas aktivitātes, </w:t>
      </w:r>
      <w:r w:rsidR="00000000" w:rsidRPr="00000000" w:rsidDel="00000000">
        <w:rPr>
          <w:b w:val="1"/>
          <w:rtl w:val="0"/>
        </w:rPr>
        <w:t xml:space="preserve">lai ieviestu atvērtās zinātnes praksi Eiropas Pētniecības telpā. 2021. gadā ir izveidota Eiropas EOSC partnerība</w:t>
      </w:r>
      <w:r w:rsidR="00000000" w:rsidRPr="00000000" w:rsidDel="00000000">
        <w:rPr>
          <w:rtl w:val="0"/>
        </w:rPr>
        <w:t xml:space="preserve">[2], kas veic EOSC pārvaldību. Eiropas EOSC partnerībā ietilpst Eiropas Komisija, EOSC koordinācijas padome[3] (EOSC Steering Board) un EOSC Asociācija[4]. Šīs trīs vienības kopā veido trīspusējo sadarbību, kuras mērķis ir pārvaldīt EOSC. IZM EOSC partnerībā pārstāv Latviju kā EOSC koordinācijas padomes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martā Ministru kabinets pieņēma informatīvo ziņojumu “Latvijas Atvērtās zinātnes stratēģija 2021.–2027. gadam”, kas paredz Latvijas dalību EOSC Asociācijā, datu pārvaldības plānu (Data Management Plan) ieviešanu, un pētniecības datu, to metadatu un e-infrastruktūru maksimālu atbilstību FAIR principiem [5], veidojot datu kuratoru tīklu un datu repozitoriju DataverseLV.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dalībvalsts var noteikt vienu organizāciju, kas ir pilnvarota pārstāvēt nacionālās intereses EOSC Asociācijā. Atbilstoši “Latvijas Atvērtās zinātnes stratēģijai 2021.–2027. gadam”, Latvijas pilnvarotā organizācija EOSC Asociācijā ir biedrība “Augstākās izglītības un zinātnes informācijas tehnoloģijas koplietošanas pakalpojumu centrs”, kuras līdzdibinātāji ir Latvijas zinātņu universitātes: Latvijas Biozinātņu un tehnoloģiju universitāte, Latvijas Universitāte, Rīgas Stradiņa universitāte un Rīgas Tehniskā universitāte. </w:t>
      </w:r>
      <w:r w:rsidR="00000000" w:rsidRPr="00000000" w:rsidDel="00000000">
        <w:rPr>
          <w:b w:val="1"/>
          <w:rtl w:val="0"/>
        </w:rPr>
        <w:t xml:space="preserve">Nepiedaloties EOSC aktivitātēs ar valsts budžeta vai ES fondu ieguldījumiem Latvijas rezultāti programmā Apvārsnis Eiropa būs būtiski apdraudēti</w:t>
      </w:r>
      <w:r w:rsidR="00000000" w:rsidRPr="00000000" w:rsidDel="00000000">
        <w:rPr>
          <w:rtl w:val="0"/>
        </w:rPr>
        <w:t xml:space="preserve">, ja Latvija nespēs īstenot atvērtās zinātnes koncepciju Eiropas formātā. Arī iespējas piedalīties citās Apvārsnis Eiropa aktivitātēs nozīmīgi pasliktināsies, būtiski pasliktināsies Latvijas dalībnieku konkurētspēja nākamajā Ietvara programmā FP10. Globālā mērogā Latvija arvien vairāk attālināsies no zināšanu sabiedrības modeļa, kur lēmumu pamatā ir zinātniski pierādījumi, jo Latvijas iespējas piekļūt zinātniskajiem rezultātiem kardināli pasliktināsies. Latvijas ekonomika stagnēs, ja nebūs pieejas zināšanām, kas vajadzīgas augstas pievienotās vērtības produktu izstrādei un ražošanai. Brīva piekļuve dažādu jomu kvalitatīvi pārvaldītiem un sadarbspējīgiem datiem ir būtiska, lai veicinātu inovācijas un izaugsmi visās tautsaimniecības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EOSC vajadzīgs, lai Latvijā varētu attīstīt zinātnes digitalizāciju, nodrošinātu sabiedrības piekļuvi zinātniskās darbības rezultātiem un datiem, lai zinātnieki un inovatori varētu strādāt ar datiem no jebkuras vietas Latvijā, lai sekmētu FAIR  (Findability, Accessibility, Interoperability, and Reuse) datu principu ieviešanu Latvijā, lai veiksmīgi attīstītu iestrādnes datu ezeru, lielo datu analīzes, zināšanu inženierijas un mākslīgā intelekta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“Latvijas atvērtās zinātnes stratēģija 2021.–2027. gadam[6]” paredz, ka atvērtās zinātnes un zinātnes digitalizācijai ir paredzēts finansējums Latvijas ES Atveseļošanas un noturības mehānisma plānā[7], kur 2021.–2026. gada periodam paredzēti ieguldījumi 3 440 000 euro apmērā 2.1.3.1.investīcija “Datu pieejamība, koplietošana un analītika” atvērtās zinātnes ieviešanai praksē un risinājuma izveidošanai zinātnes datu koplietošanai un dalībai EOSC, kā arī no ES kohēzijas politikas programmas 2021.–2027.gadam, kur zinātniskās darbības digitalizācijai un dalībai EOSC paredzēts finansējums 18 487 501 euro (ERAF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pamatnostādnēs 2021.–2027.gadam[8] (turpmāk – DTP) noteiktais rīcības virziens 4.4.12. “Zinātnes procesu digitālā transformācija” paredz, ka katram pētniekam Latvijā ir pieejami labākie digitālie pakalpojumi un infrastruktūras (t.sk. HPC, mākslīgā intelekta risinājumi, pētniecības datu repozitoriji), kas tiek kvalitatīvi pārvaldīti. Katram pētniekam ir iespējas attīstīt savas digitālās un pētniecības datu pārvaldības prasmes un iesaistīties starptautiskos projektos un iniciatīvās (t.sk. EOSC). Pētnieki tiek maksimāli atslogoti no administratīviem darbiem, lai tie varētu koncentrēties uz izcilu pētniecību. Tiek nodrošināta kvalitatīva pētniecības datu pārvaldība no datu iegūšanas līdz datu arhivēšanai, nodrošinot datu pieejamību un FAIR principu ievērošanu. Latvija turpina integrāciju Eiropas Pētniecības telpā, tostarp īsteno digitalizācijas aktivitātes, iesaistoties starptautiskajos projektos,  un sinerģijā ar citu valstu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DTP rīcības virziens 4.4.12. “Zinātnes procesu digitālā transformācija” nosaka, ka ir </w:t>
      </w:r>
      <w:r w:rsidR="00000000" w:rsidRPr="00000000" w:rsidDel="00000000">
        <w:rPr>
          <w:b w:val="1"/>
          <w:rtl w:val="0"/>
        </w:rPr>
        <w:t xml:space="preserve">nepieciešama pētniecības datu pārvaldības prasību un atbalsta ieviešana, EOSC un citu datu izmantošanas pakalpojumu pieejamības nodrošināšana</w:t>
      </w:r>
      <w:r w:rsidR="00000000" w:rsidRPr="00000000" w:rsidDel="00000000">
        <w:rPr>
          <w:rtl w:val="0"/>
        </w:rPr>
        <w:t xml:space="preserve">, kas ietver pētniecības datu pārvaldības plānu ieviešanu, atbalsta sistēmas veidošana kvalitatīva pētniecības datu pārvaldības cikla nodrošināšanai, pētniecības datu pārvaldības prasmju stiprināšana pētniekiem un zinātniskajām institūcijām, digitālo pētniecības infrastruktūru un rīku (t.sk. mākslīgā intelekta un mašīnmācīšanās tehnoloģiju) pieejamības nodrošināšanu, mākoņdatošanas un glabāšanas pakalpojumu nodrošināšanu, datu integritātes un drošības risinājumi, nodrošinot arī digitālo risinājumu koplietošanu dažādās zinātniskajās institūcijās. Tāpat ir jānodrošina atbalsts dažādu nozaru pētniecības datu un zinātnisko publikāciju publiskās pieejamības veicināšanai un kvalitātes celšanai, FAIR principu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DTP rīcības virziens 4.4.12. “Zinātnes procesu digitālā transformācija” paredz iesaisti EOSC partnerībā, nacionālo digitālo pētniecības infrastruktūru attīstībā un integrācijā EOSC, datu repozitoriju attīstīšana (Dataverse tīkls), kā arī zinātnes digitalizācijas kompetences centra koordinācijas sistēmas, standartu izveidošanu un valsts pakalpojumu platformas atvēršanu komersantiem sadarbībai, pētniecībai un inovācijai.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Konstatētie riski, ja netiek veiktas investīcijas 1.1.1.6.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Samazinās pētniecības datu atrodamības, piekļūstamības, sadarbspējas un atkārtotas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Nespēsim izpildīt nosacījumus, kas izvirzīti pētniecības un inovāciju ietvara programmu projektu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Pētniecības personālam būs ierobežota piekļuve digitālajiem pētniecības resursiem, infrastruktūrai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Būs vājinātas sadarbības un zināšanu apmaiņas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Pētniecības ietekmes un līdzdalības iespēju pazemināšanās;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Palielinās datu vākšanas, apstrādes, licencēšanas un glabāšanas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Nevienlīdzīgas iespējas kvalitatīva pētniecības procesa nodrošināšanai un fragmentācijas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Paaugstinās dubultfinansējuma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Ierobežota pētījumu starpdisciplinaritātes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Palēnināta atvērtās zinātnes prakses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Neinvestējot pētniecības koplietošanas e-infrastruktūras attīstībā pētniecības izmaksas institūciju līmenī palielinātos un produktivitāte pazeminātos;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Ierobežota sistēmu sadarbspēja ar kopējo Eiropas Pētniecības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Ierobežota piekļuve pētniecības resursiem pazeminās iespējas ātrāk ieviest jauninājumus, uzlabot inovāciju spēju, uzlabot procesus un saglabāt konkurētspēju visos tautsaimniecības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Vāja pētniecības datu, resursu un infrastruktūras kiberdrošība;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veikusi izmaksu un ieguvumu pētījumu “Izmaksas, ja pētniecības dati neatbilst FAIR principiem”. Pētījumā secināts, ka </w:t>
      </w:r>
      <w:r w:rsidR="00000000" w:rsidRPr="00000000" w:rsidDel="00000000">
        <w:rPr>
          <w:b w:val="1"/>
          <w:rtl w:val="0"/>
        </w:rPr>
        <w:t xml:space="preserve">ikgadējās izmaksas kas saistītas ar FAIR pētījumu datu neesamību Eiropas ekonomikai izmaksātu vismaz 10,2 miljardu EUR.</w:t>
      </w:r>
      <w:r w:rsidR="00000000" w:rsidRPr="00000000" w:rsidDel="00000000">
        <w:rPr>
          <w:rtl w:val="0"/>
        </w:rPr>
        <w:t xml:space="preserve"> Turklāt, aprēķinā nav iekļauti vairāki aspekti kuru ietekmes novērtēšana ir sarežģītāka, piemēram, ietekmi uz pētniecības kvalitāti, ekonomisko apgrozījumu vai mašīnlasāmu pētījumu datu kopu izmantošanu. Pētījumā prognozēts, ja iekļautu grūti monetizējamos aspektus, tad katru gadu tas radītu vēl papildus 16 miljardu EUR izmaksas. https://publications.europa.eu/resource/cellar/d375368c-1a0a-11e9-8d04-01aa75ed71a1.0001.01/DOC_1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Pētniecības datu alianse rd-alliance.org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EOSC Partnerība https://eosc.eu/partnership/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Dalībvalstu EOSC koordinācijas padome https://ec.europa.eu/transparency/expert-groups-register/screen/expert-groups/consult?lang=en&amp;groupID=3756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EOSC Asociācija https://eosc.eu/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FAIR (findable – atrodami, accessible – pieejami, interoperable – sadarbspējīgi, reusable – atkārtoti lietojami) datu pārvaldības principi – vadlīnijas pētniecības datu radīšanā un pārvaldībā iesaistītajām pusēm, kas definētas, lai  veicinātu pētniecības datu izmantošanu. Pēc FAIR datu pārvaldības principiem pārvaldītie dati ir atrodami, pieejami, sadarbspējīgi un atkārtoti lietojami. European Commission, 2018. Turning FAIR into reality, Final report and action plan. Pieejams: https://op.europa.eu/en/publication-detail/-/publication/7769a148-f1f6-11e8-9982-01aa75ed71a1/language-en/format-PDF/source-80611283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https://www.izm.gov.lv/lv/media/17069/download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https://likumi.lv/ta/id/322858-par-latvijas-atveselosanas-un-noturibas-mehanisma-planu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https://likumi.lv/ta/id/324715-par-digitalas-transformacijas-pamatnostadnem-20212027-gadam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Starptautiskajā zinātnē aizvien plašāk tiek ieviestas atvērtās zinātnes prakses (piemēram, pētniecības datu publicēšana un atkārtota izmantošana), turklāt pētniecības datu atvēršana ir kā priekšnosacījums dalībai programmā Apvārsnis Eiropa. 2022. gada 1. martā pieņemtā "Latvijas Atvērtās zinātnes stratēģija 2021.–2027. gadam" identificē vairākus izaicinājumus kvalitatīvai Latvijas pētniecības datu pārvaldībai, tostarp datu uzglabāšanas risinājumu sadrumstalotību, specifisku datu pārvaldības prasmju trūkumu un vienotu metadatu un datu apmaiņas standartu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Latvijā pakāpeniski uzlabojas pētniecības datu pārvaldības prakse, tomēr, pētījumā par atvērto zinātni[1] iezīmējas, ka “</w:t>
      </w:r>
      <w:r w:rsidR="00000000" w:rsidRPr="00000000" w:rsidDel="00000000">
        <w:rPr>
          <w:b w:val="1"/>
          <w:rtl w:val="0"/>
        </w:rPr>
        <w:t xml:space="preserve">lielākai daļai [pētnieku] ir samērā sveša pētniecības datu publicēšanas koncepcija. To arī parāda interviju atbildes: vairumā gadījumi pētnieciskie dati tiek glabāti personīgajos datoros vai individuālajos mākoņpakalpojumos</w:t>
      </w:r>
      <w:r w:rsidR="00000000" w:rsidRPr="00000000" w:rsidDel="00000000">
        <w:rPr>
          <w:rtl w:val="0"/>
        </w:rPr>
        <w:t xml:space="preserve">”. Pētniecības datu glabāšanas sadrumstalotība un nepieejamība citiem pētniekiem, studentiem, uzņēmējiem un sabiedrības grupām ierobežo jaunu pētījumu rašanos un aizkavē inovāciju rašanos.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datu sagatavošana prasa noteiktu zināšanu un kompetenču kopumu attiecībā uz datu apraksta sagatavošanas tehnisko procesu, pētniecības jomai specifisko terminoloģiju un metadatu atslēgvārdiem, tāpat ir jāveic ieguldījumi pētniecības digitālajā infrastruktūrā un pakalpojumos, kas atbalsta digitalizētas informācijas apkopošanu, radīšanu un apstrādi pētniecības vajadzībām un  pētniecības pārvaldībai, ietverot datu pārraides, uzglabāšanas, skaitļošanas resursus un pakalpojumus, programmatūru un citus rīkus, datu apstrādes risinājumus un pakalpojumus, risinājumus šādas pētniecības pārvaldībai, kā arī to organizatorisko nodrošinājumu. Latvijā šobrīd trūkst gan speciālistu ar zināšanām zinātniskās darbības digitalizācijā, gan ir nepietiekami ieguldījumi digitālajās infrastruktūrās. </w:t>
      </w:r>
      <w:r w:rsidR="00000000" w:rsidRPr="00000000" w:rsidDel="00000000">
        <w:rPr>
          <w:b w:val="1"/>
          <w:rtl w:val="0"/>
        </w:rPr>
        <w:t xml:space="preserve">Bez kompleksas un sistēmiskas pieejas būs apgrūtināta Latvijas spēja attīstīt pētniecību, iekļauties starptautiskajos pētniecības projektos, sasniegt Apvārsnis Eiropa un nākamās ES pētniecības 10. ietvarprogrammas (turpmāk – 10.IP) rezultātus un attīstīt inovācijas</w:t>
      </w:r>
      <w:r w:rsidR="00000000" w:rsidRPr="00000000" w:rsidDel="00000000">
        <w:rPr>
          <w:rtl w:val="0"/>
        </w:rPr>
        <w:t xml:space="preserve">. Bez nozīmīgiem ieguldījumiem veidosies vēl lielāka atpalicība uz Eiropas valstu fona, šobrīd Latvija Eiropas inovāciju indeksā[2] ierindojas trešajā vietā no beigām, apsteidzot vien Rumāniju un Bulgāriju.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arī turpmāk Latvijā īstenotu augstas kvalitātes un starptautiski atzītu pētniecību, tai skaitā augstas pievienotās vērtības tehnoloģijas, produktus un pakalpojumus, kas ir konkurētspējīgi un pieprasīti Eiropas un pasaules tirgos, kā arī veicinātu finansējuma īpatsvara pētniecībai un attīstībai pieaugumu līdz vismaz 1,5 % no iekšzemes kopprodukta (IKP) un zinātniskās institūcijas piesaistītu programmas Apvārsnis Eiropa finansējumu 150 milj. euro līdz programmas Apvārsnis Eiropa noslēgumam, jāturpina sniegt atbalstu zinātniskajām institūcijām kvalitatīvu programmas Apvārsnis Eiropa projektu pieteikumu izstrādei, tai skaitā nodrošinot pētniekiem labākos digitālos pakalpojumus un infrastruktūras, kas tiek kvalitatīvi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notiek 10.IP, kas sāksies 2028. gadā pēc programmas Apvārsnis Eiropa noslēguma, izstrāde. Dalībvalstis un dažādas institūcijas Eiropā, tai skaitā arī Latvijas pētniecības ekosistēma iesaistās diskusijās un sāk viedokļu apmaiņu par nostāju nākamās Eiropas pētniecības un attīstības programmas izveidē. Draghi ziņojums[3] un Enrico Letta ziņojums par vienoto tirgu[4], kas tika publicēts 2024. gada aprīlī, norāda ceļu uz jauno Eiropas Komisijas politiku, kur atvērtās zinātnes praksei un EOSC iniciatīvai ir būtiska loma. EOSC Asociācija ir sagatavojusi pārdomu dokumentu[5] reflektējot uz Enrico Letta ziņojumu par vienoto tirgu un atzīmējot EOSC misijas saikni un darbības plānu ar turpmāko Eiropas Komisijas politiku. EOSC uzņemas nozīmīgu lomu Eiropas konkurētspējas uzlabošanā, sniedzot ieguldījumu četrās galvenajās jomās: Eiropas digitālā un datu suverenitāte, drošība, produktivitāte un atbalsta mērķi, lai Eiropa kļūtu par līderi mākslīgā intelekta jomā. </w:t>
      </w:r>
      <w:r w:rsidR="00000000" w:rsidRPr="00000000" w:rsidDel="00000000">
        <w:rPr>
          <w:b w:val="1"/>
          <w:rtl w:val="0"/>
        </w:rPr>
        <w:t xml:space="preserve">Bez ieguldījumiem EOSC, Latvijas dalība nākamajā 10.IP būs būtiski ierobežota, būs ierobežotas iespējas Latvijas dalībai starptautiskajos konsorcijos, kur nosacījums būs piekļuve EOSC un atvērtās zinātnes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ir uzsākts standartizētas pētniecības datu pārvaldības pieejas īstenošanas investīcijas projekts 2.1.3.1.i. "Atbalsts atvērtās zinātnes ieviešanai praksē, kā arī izveidoti risinājumi zinātnes datu koplietošanai un dalībai ES atvērtajā zinātnes mākonī" (turpmāk – datu pārvaldnieku projekts). Datu pārvaldnieku projektā ir uzsākts sniegt konsultācijas universitāšu pētniekiem par datu pārvaldības plānu izstrādi un arī individuālas konsultācijas par pētniecības datiem. Projekta ietvaros ir izveidotas četras tematiskās datu kuratoru tīkla darba grupas: datu pārvaldības, normatīvā regulējuma, informācijas tehnoloģijas risinājuma un zināšanu pārneses. Darba grupās tiek apkopota aktuālā problemātika datu pārvaldības jomā un ir nepieciešams šos rezultātus izmantot un ieviest. </w:t>
      </w:r>
      <w:r w:rsidR="00000000" w:rsidRPr="00000000" w:rsidDel="00000000">
        <w:rPr>
          <w:b w:val="1"/>
          <w:rtl w:val="0"/>
        </w:rPr>
        <w:t xml:space="preserve">Ir nepieciešams turpinājums uzsāktajām darbībām datu pārvaldnieku projektā, iekļaujot secīgi nākamās aktivitātes un sasniedzamos rezultātus, tostarp rezultātu izmantošanu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viedās specializācijas (turpmāk – RIS3) ekosistēma paredz, ka tā ietver sabiedrības, nacionālās ekosistēmas un starptautiskā ekosistēmas līmeņus. Viedās specializācijas stratēģija jeb ir valsts līmeņa attīstības stratēģija, kuras mērķis ir maksimizēt efektivitāti, mērķtiecīgi virzoties uz augstas pievienotās vērtības tautsaimniecību, resursu efektīvāku izmantošanu un kompetenču stiprināšanu inovāciju stimulam. Atvērtās zinātnes koncepts ir saistīts ar visiem trim norādītajiem lielumiem –sabiedrība iegūst pieeju publikācijām un datiem. Atvērtās publikācijas un dati, ietekmē industriju, nodrošinot ciešāku pētnieku un tirgus sasaisti. Ir situācijas, kad industrijas pārstāvji/komersanti vēlas pasūtīt pētījumu, bet tiem nav izpratnes, vai tādi pētījumi jau ir veikti, vai šādam pētījumam būs atdeve nākotnē. Šajā gadījumā, ja būtu pieejami publiski pētījumi un dati, komersantam būtu iespēja ar tiem iepazīties un konkrētāk veidot dialogu ar pētniekiem. Savukārt, starptautiskā ekosistēmas līmenī palielinātos kopējo publikāciju skaits, būtu iespēja piesaistīt starptautisku finansējumu projektiem, kuros kā prasība izvirzīta atvētās pieejas publikācijas. Līdz ar to, </w:t>
      </w:r>
      <w:r w:rsidR="00000000" w:rsidRPr="00000000" w:rsidDel="00000000">
        <w:rPr>
          <w:b w:val="1"/>
          <w:rtl w:val="0"/>
        </w:rPr>
        <w:t xml:space="preserve">lai sasaistītu RIS3 ar atvērto zinātni, nepieciešams veidot atvērtus digitālus resursus un nodrošināt atvērtu piekļuvi pētniecības datiem, datu telpām RIS3 specializācijas jomās, tādējādi rosinot uzņēmējdarbības atklājuma principu, veicinot jauno produktu un pakalpojumu izstrādi konkurences apstākļos un inovāciju rašanos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septembrī stājas spēkā Nacionālās kiberdrošības likums[6] (turpmāk – NKDL). Šī likuma mērķis ir stiprināt kiberdrošību Latvijā, kā arī ieviest pārskatītās Eiropas Savienības Tīklu un informācijas sistēmu drošības direktīvas[7] (NIS2) prasības vienādi augsta kiberdrošības līmeņa panākšanai visā Eiropas Savienībā. NKDL likumā ir noteikti svarīgo pakalpojumu sniedzēji un kiberdoršības prasības šiem pakalpojumu sniedzējiem. Zinātniskās institūcijas ir noteiktas kā svarīgo pakalpojumu sniedzēji un NKDL nosaka īstenot kiberdrošības pasākumus. IZM nav paredzēts finansējums kiberdrošības prasību īstenošanai zinātniskajās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Pētījuma par atvērto zinātni un rīcībpolitikas ceļa kartes izstrādi noslēguma ziņojums https://www.izm.gov.lv/sites/izm/files/petijums-atverta_zinatne_21_2.pdf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inovāciju indeks 2024  https://op.europa.eu/en/publication-detail/-/publication/8a4a4a1f-3e68-11ef-ab8f-01aa75ed71a1/language-en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https://commission.europa.eu/topics/strengthening-european-competitiveness/eu-competitiveness-looking-ahead_en#paragraph_47059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https://www.consilium.europa.eu/media/ny3j24sm/much-more-than-a-market-report-by-enrico-letta.pdf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https://eosc.eu/wp-content/uploads/2024/11/20241104_EOSC-A-reflection-paper-on-Letta-report_final.pdf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https://likumi.lv/ta/id/353390-nacionalas-kiberdrosibas-likums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https://eur-lex.europa.eu/eli/dir/2016/1148/oj/?locale=LV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nodrošināt Latvijas pētniekiem drošu, mūsdienīgu un ērtu piekļuvi un dalīšanos ar kvalitatīvi pārvaldītiem pētniecības datiem, piekļuvi datu apstrādes rīkiem un digitāliem pētniecības pakalpojumiem, </w:t>
      </w:r>
      <w:r w:rsidR="00000000" w:rsidRPr="00000000" w:rsidDel="00000000">
        <w:rPr>
          <w:b w:val="1"/>
          <w:rtl w:val="0"/>
        </w:rPr>
        <w:t xml:space="preserve">nodrošināt Latvijas iekļaušanos Eiropas Pētniecības telpā, starpnozaru un starptautisko sadarbību, lielo datu un mākslīgā intelekta (turpmāk – MI)</w:t>
      </w:r>
      <w:r w:rsidR="00000000" w:rsidRPr="00000000" w:rsidDel="00000000">
        <w:rPr>
          <w:b w:val="1"/>
          <w:rtl w:val="0"/>
        </w:rPr>
        <w:t xml:space="preserve"> potenciāla izmantošanu, izveidojot un ieviešot EOSC nacionālo mezglu un koplietošanas pakalpojumus datu izmantošanai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EOSC nacionālā mezgla potenciāls MI jomā un sinerģija ar Latvijas Nacionālo mākslīgā intelekta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Atvērta piekļuve pētniecības datiem ir būtiska, lai izstrādātu MI un mašīnmācīšanās modeļus, kas var risināt sarežģītus izaicinājums dažādās jomās. EOSC nacionālais mezgls nodrošinās drošu infrastruktūru augstas kvalitātes FAIR principiem atbilstošas un mašīnlasāmu pētniecības datu kopu glabāšanai un apstrādei. Atvērtā piekļuve nodrošina to, ka pētniecības datus un objektus atkārtoti var izmantot zinātniskās kopienas un uzņēmumi, lai apmācītu MI un mašīnmācīšanās modeļus, kā arī uzlabotu to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EOSC nacionālais mezgls nodrošinās sinerģiju ar Latvijas Nacionālo mākslīgā intelekta centru (turpmāk - LNMIC). EOSC nacionālais mezgls nodrošinās drošu vidi pētniecības datu uzglabāšanai un atkalizmantošani (t.sk. mašīnlasāmiem datiem), savienojamību ar drošu datu pārraides un apstrādes infrastruktūru nacionālā un starptautiskā mērogā, kā arī kontrolētu un drošu lietotāju piekļuves pārvaldību. EOSC nacionālais mezgls spēs nodrošināt savienojumu arī ar citām kopējām Eiropas datu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nacionālais mezgls ir ar potenciālu sinerģijai ar LNMIC “regulatīvās smilškastes” īstenošanu. EOSC nacionālā mezgla arhitektūru varētu pielāgot drošas “regulatīvās smilškastes” izveidei, radot kontrolētu eksperimentēšanas un testēšanas digitālo vidi pētniecības datiem. EOSC nacionālā mezgla regulētā digitālā vide spētu nodrošināt atbildīgu inovāciju un atbilstošu aizsardzības un riska mazināšanas pasākumu integrēšanu MI risinājumu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1.1.1.6. pasākums ir vērsts uz Latvijas mērķu sasniegšanu programmā Apvārsnis Eiropa un atvērtās zinātnes ieviešanu visā pētniecības un izglītības sistēmā nacionālā līmenī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Apvārsnis Eiropa nosaka jaunus standartus zināšanu un jaunu prasmju izplatīšanai Eiropas sabiedrībā. Eiropas un visu dalībvalstu uzdevums ir panākt, ka atvērtā zinātne ir visu pētnieku modus operandi. Atvērtā zinātne nozīmē, ka dalīšanās zināšanās, datos un rīkos pētniecības un inovācijas procesā notiek pēc iespējas agrāk, atklāti sadarbojoties ar visiem zināšanu jomas dalībniekiem – akadēmiskajām aprindām, industriju, publiskajām iestādēm, galalietotājiem, iedzīvotājiem un sabiedrību kopumā. Atvērtās zinātnes iniciatīva veicina uz sadarbību vērstu zinātnisko darbību. Tās praktiskā ieviešanā būtisku lomu spēlē digitālās tehnoloģijas un jauni sadarbības rīki, attiecinot atvērtības principus uz visiem pētniecības procesa posmiem. </w:t>
      </w:r>
      <w:r w:rsidR="00000000" w:rsidRPr="00000000" w:rsidDel="00000000">
        <w:rPr>
          <w:b w:val="1"/>
          <w:rtl w:val="0"/>
        </w:rPr>
        <w:t xml:space="preserve">EOSC nacionālā mezgla ieviešana paredz integrēt atvērtās zinātnes pārvaldības modeli visā pētniecības un izglītības sistēmā nacionālā līmenī, nosakot vienotus standartus, vadlīnijas, piekļuves nosacījumus un drošības protokolus. EOSC mezgla funkcionalitāte nodrošinās ka publiski finansētas zinātniskās publikācijas, pētniecības dati programmatūra un citi pētniecības rezultāti ir pieejami atbilstoši atvērtās piekļuves vadlīnijās noteiktajam. </w:t>
      </w:r>
      <w:r w:rsidR="00000000" w:rsidRPr="00000000" w:rsidDel="00000000">
        <w:rPr>
          <w:rtl w:val="0"/>
        </w:rPr>
        <w:t xml:space="preserve">Iniciatīvas ieviešana ļaus atbalstīt paradigmas maiņu padarot atvērtās zinātnes praksi par normu. EOSC platforma nodrošinās ieejas punktu izmantojot vienotu autorizāciju un autentifikāciju atvērtās zinātnes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Atvērtās zinātnes pieejas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nodrošinās zinātnes kvalitātes un integritātes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nodrošinās paplašinātas pētniecības datu un rezultātu pieejamību un atkārotas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nodrošinās stiprinātas pētnieku datu pārvaldības prasmes un veicinās zinātnes digitalizāciju;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veicinās zinātnieku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sekmēs zināšanu pārnesi un pētniecības rezultātu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nodrošinās priekšnosacījumus zinātniskos pētījumos un datos balstītas rīcībpolitikas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paaugstinās sabiedrības iesaisti pētniecības procesos, uzlabos sabiedrības izpratni un interesi par zinātni, kā arī paaugstinās zinātnes vērtību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ļaus pilnveidot pētniecības rezultātu monitoringa sistēmu pētniecības finansējuma efektivitātes novērtēšanai un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Atvērtās zinātnes stratēģija paredz standartizētas pētniecības datu pārvaldības prakses ieviešanu pilnā datu pārvaldības ciklā, ieviešot obligātu prasību pētniekiem veidot datu pārvaldības plānu.</w:t>
      </w:r>
      <w:r w:rsidR="00000000" w:rsidRPr="00000000" w:rsidDel="00000000">
        <w:rPr>
          <w:b w:val="1"/>
          <w:rtl w:val="0"/>
        </w:rPr>
        <w:t xml:space="preserve"> Datu pārvaldības plāna veidnei jābūt elektroniskai, mašīnlasāmā formātā un pēc iespējas līdzīgākai Apvārsnis Eiropa veidnei un šādus pakalpojumus un rīkus plānots integrēt EOSC nacionālā mezgla pakalpojumu klāstā. </w:t>
      </w:r>
      <w:r w:rsidR="00000000" w:rsidRPr="00000000" w:rsidDel="00000000">
        <w:rPr>
          <w:rtl w:val="0"/>
        </w:rPr>
        <w:t xml:space="preserve">Pētniecības datiem un to metadatiem pēc noklusējuma jābūt deponētiem drošā repozitorijā un jābūt pieejamiem universālajā Creative Commons[1] vai ekvivalentā licencē. Projekta investīcijas paredz arī šādu koplietošanas pakalpojumu nodrošināšanu un personāla apmācību FAIR principu ieviešanai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Apvārsnis Eiropa aicina ievērot FAIR principus, tai skaitā nodrošināt, ka dati būs “tik atvērti, cik iespējams, tik slēgti, cik nepieciešams”, tā sargājot leģitīmas intereses un ierobežojumus. Tomēr piekļuve pētījumu rezultātiem tiks nodrošināta arī trešajām personām, lai tās varētu verificēt vai validēt publikācijas.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EOSC nacionālais mezgls veicinās Latvijas pilnvērtīgu iekļaušanos Eiropas Pētniecības telpā</w:t>
      </w:r>
      <w:r w:rsidR="00000000" w:rsidRPr="00000000" w:rsidDel="00000000">
        <w:rPr>
          <w:rtl w:val="0"/>
        </w:rPr>
        <w:t xml:space="preserve">, koplietojot nacionālas nozīmes pētniecības infrastruktūru, stratēģiski iesaistoties Eiropas un pasaules pētniecības un inovāciju iniciatīvās un pasākumos, kas stiprina P&amp;A sistēmas konkurētspēju un starptautisko atvērtību un </w:t>
      </w:r>
      <w:r w:rsidR="00000000" w:rsidRPr="00000000" w:rsidDel="00000000">
        <w:rPr>
          <w:b w:val="1"/>
          <w:rtl w:val="0"/>
        </w:rPr>
        <w:t xml:space="preserve">atbilstoši NAP2027 noteiktajiem politikas mērķiem</w:t>
      </w:r>
      <w:r w:rsidR="00000000" w:rsidRPr="00000000" w:rsidDel="00000000">
        <w:rPr>
          <w:rtl w:val="0"/>
        </w:rPr>
        <w:t xml:space="preserve">. Pasākums atbalsta NAP2027 Rīcības virziena uzdevuma Nr.143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paredz izveidot ‘sistēmu sistēmas’ tipa infrastruktūru, kas padarīs zinātni efektīvāku un produktīvāku, un ļaus miljoniem pētnieku kopīgot un analizēt pētniecības datus uzticamā vidē, ko nenorobežo tehnoloģijas un disciplīnas un nesadala valstu robežas. Iniciatīvas ieviešanas mērķis ir nodrošināt vienu brīvas piekļuves punktu un visu datu bāzu sadarbspējību, nodrošinot ērtu piekļuvi pētījumu datiem un padarot pieejamus publiski finansētus pētījumu datus. Ar EOSC federācijas izveidi tiek mēģināts atrisināt problēmu, ka pētniecības dati tiek glabāti daudzos dažādos datu centros, iestādēs un pētniecības centros visā Eiropā, bet tiem nav dota atvērtā piekļuve un to sistēmas nav sadarbspējīgas.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2024. gada 22. oktobrī paziņoja par “EOSC ES mezgla” – pirmā EOSC federācijas mezgla darbības uzsākšanu[2]. Papildus citiem pakalpojumiem EOSC ES mezgls nodrošina federācijas pamatfunkcijas, kas ļauj savstarpēji savienoties ar citiem EOSC mezgliem un tādējādi uzsākt EOSC federācijas izveidošanas procesu, kas ļaus apvienot vairākas pētniecības e-infrastruktūras un uzlabot to piekļūstamību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federācijas izveides procesa sākumposmā ir daudz izaicinājumu, jo apvienot informāciju un resursus no dažādiem avotiem un jomām prasa vispārēju saskaņotību starp dažādiem līmeņiem t.sk. pētniecības veicējiem, institūcijām un politikas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EOSC nacionālā mezgla izveide ļaus nodrošināt pētniecības sistēmas fragmentācijas mazināšanu nacionālā līmenī</w:t>
      </w:r>
      <w:r w:rsidR="00000000" w:rsidRPr="00000000" w:rsidDel="00000000">
        <w:rPr>
          <w:rtl w:val="0"/>
        </w:rPr>
        <w:t xml:space="preserve">, kā arī sadarbspēju ar kopējo Eiropas Pētniecības telpu.  EOSC mezglu apvienošana ļaus pētniekiem un pētniecības atbalsta personālam uzlabot viņu darba efektivitāti, kā arī nodrošinās vienlīdzīgas piekļuves iespējas pētniecības infrastruktūrai un pakalpojumiem tai skaitā ilgtermiņā paredzama pētniecības izmaksu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nacionālā mezgla izveidei jābalstās uz esošo infrastruktūru un pakalpojumiem. EOSC nacionālais mezgls nodrošinās tā lietotājus ar piekļuvi pētniecības rezultātiem, pakalpojumiem un rīkiem nacionālā līmenī atbilstoši vispārpieņemtajiem standartiem, kā arī jānodrošinās savienojumu un mijiedarbību ar plašākiem tīkliem, tai skaitā citiem EOSC mezgliem kopējā Eiropas datu 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akadēmiskajam pamattīklam (LAT) un Eiropas akadēmiskajam tīklam GEANT (GEANT) ir jābūt daļai no EOSC nacionālā mezgla ekosistēmas pamatelementiem.</w:t>
      </w:r>
      <w:r w:rsidR="00000000" w:rsidRPr="00000000" w:rsidDel="00000000">
        <w:rPr>
          <w:rtl w:val="0"/>
        </w:rPr>
        <w:t xml:space="preserve"> Tieši ar GEANT palīdzību ir savienoti nozīmīgākie Eiropas akadēmiskie mākoņu, lielo datu un režģa skaitļošanas resursi, kā arī tas savieno 38 Eiropas valstu nacionālos pētniecības un izglītības tīklus (NREN). Latvijas Akadēmiskais Datu tīkls (Latvijas NREN) savieno 24 tā aktīvus lietotājus – zinātniskās institūcijas un mācību iestādes, nodrošinot Akadēmiskā datu tīkla pamatpakalpojumus Latvijā. Latvija GEANT iesaistījusies kopš 2015. gada 1. maija.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GEANT ir publicējis dokumentu, kurā izklāsta kopienas nostāja par EOSC iniciatīvas īstenošanu pētniecības un izglītības atbalstam[3], norādot būtiskus EOSC mezglu izveides pamatprincipus un iepriekšējo GEANT kopienas ieguldījumu Eiropas Pētniecības telpas attīstībā. Tā pat Eiropas Komisija ir publicējusi publiskā iepirkuma rezultātus, kura mērķis ir izveidot funkcionētspējīgu infrastruktūru EOSC iniciatīvas īstenošanai. GEANT ir nosaukts par iepirkuma uzvarētāju divās no trim iepirkuma daļām[4], kas apstiprina GEANT kompetenci un būtisko lomu EOSC iniciatīvas īstenošanai Eiropas un Latvijas līmenī. </w:t>
      </w:r>
      <w:r w:rsidR="00000000" w:rsidRPr="00000000" w:rsidDel="00000000">
        <w:rPr>
          <w:b w:val="1"/>
          <w:rtl w:val="0"/>
        </w:rPr>
        <w:t xml:space="preserve">GEANT veido e-infrastruktūras mugurkaulu kopīgajai zinātnes un pētījumu infrastruktūrai un kalpo par pamatu citu Eiropas pētniecības infrastruktūru veidošanā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gūtu lielāku pienesumu no EOSC iniciatīvas ieviešanas nacionālā līmenī un pilnībā izmantotu EOSC priekšrocības, nepietiek ar EOSC nacionālā mezgla izveidi, bet ir jānodrošina savienojamība ar citiem EOSC mezgliem un Eiropas datu telpām</w:t>
      </w:r>
      <w:r w:rsidR="00000000" w:rsidRPr="00000000" w:rsidDel="00000000">
        <w:rPr>
          <w:rtl w:val="0"/>
        </w:rPr>
        <w:t xml:space="preserve">[5]. Digitālo infrastruktūru jābalsta uz savienojamību un spēju apstrādāt plašus datus, jo tie ir citu tehnoloģiju attīstības veicinātāji un atbalsta visas tautsaimniecības konkurētspēju. Visās šajās jomās ir vajadzīgi ievērojami ieguldījumi, kas prasa koordināciju Eiropas mērogā un EOSC ir viena no tām. Izcila un droša savienojamība ir priekšnoteikums pētniecības un attīstības darbībām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1.1.1.6. pasākums ir vērsts uz “Digitālās Dekādes”[6] mērķu sasniegšanu</w:t>
      </w:r>
      <w:r w:rsidR="00000000" w:rsidRPr="00000000" w:rsidDel="00000000">
        <w:rPr>
          <w:rtl w:val="0"/>
        </w:rPr>
        <w:t xml:space="preserve">, jo EOSC nacionālā mezgla īstenošana atbalstīs “Digitālās Dekādes” vispārējā mērķa sasniegšanu, jo tā iekļauj tādas jomas kā digitālās prasmes, digitālā infrastruktūra, publisko pakalpojumu digitalizācija. Tāpat EOSC ir arī daļa no Eiropas Datu stratēģijas[7], kuras mērķis ir padarīt ES par līderi uz datiem balstītā sabiedrībā. Tas nodrošinās Eiropas pētniekiem, novatoriem, uzņēmumiem un iedzīvotājiem netraucētu piekļuvi pētniecības datiem un to uzticamu atkalizmantošanu, izmantojot uzticamu un atvērtu dalītu datu vidi un saistītus sadarbspējīgus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akts[8] ir visaptveroša iniciatīva, kuras mērķis ir risināt problēmas un izmantot iespējas, ko ES sniedz dati, uzsverot taisnīgu piekļuvi un lietotāju tiesības, vienlaikus nodrošinot personas datu aizsardzību. EOSC arhitektūra nodrošinās drošu vidi dažāda līmeņa pētniecības rezultātu publiskošanai un pakalpojumu izmantošanai. EOSC koncepcija tiek virzīta kā starpnozaru datu telpa pētniecībai un inovācijām, lai apmierinātu digitālās ekonomikas vajadzības un novērstu šķēršļus labi funkcionējošam iekšējam datu tirgum. Tā pat ir jāizveido saskaņots satvars, kur nosaka, kurš ir tiesīgs izmantot datus vai ar tiem saistīto pakalpojumu datus, ar kādiem nosacījumiem un uz kāda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Pašlaik 14 nozarēs/jomās tiek veidotas kopīgas Eiropas datu telpas un tieši Pētniecības un inovāciju kopējā datu telpai – EOSC ir būtiska loma visu datu telpu savienošanai, kas spēj sniegt nozīmīgu ieguldījumu virzot uz datiem balstītu inovāciju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pētniecības datiem ir ļoti svarīga, lai izstrādātu uzticamus un konkurētspējīgus mākslīgā intelekta risinājumus, ar kuriem var risināt sarežģītas problēmas visās tautsaimniecības nozarēs.  Lai mākslīgā intelekta modeļus efektīvi apmācītu, ir nepieciešams milzīgs datu apjoms un skaitļošanas jauda. Lai mākslīgā intelekta modelis būtu uzticams un labi funkcionējošs, ir nepieciešami kvalitatīvi un FAIR principiem atbilstoši dati. Atvērtā zinātnes prakse un EOSC iniciatīvas ieviešana ir spēcīgs instruments, lai nodrošinātu paradigmas maiņu pētniecības sistēmā un nodrošinātu turmāko attīstību. Labi aprakstīti dati, kas ir sadarbspējīgi un atbilst kopienas standartiem, ir pamats uzticama MI attīstībai un integrācijai dažādās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ieviešanas ceļakartē[9] norādīts, ka</w:t>
      </w:r>
      <w:r w:rsidR="00000000" w:rsidRPr="00000000" w:rsidDel="00000000">
        <w:rPr>
          <w:b w:val="1"/>
          <w:rtl w:val="0"/>
        </w:rPr>
        <w:t xml:space="preserve"> datu pārvaldībai vēlams paredzēt 5 % no kopējām pētniecības izmaksām</w:t>
      </w:r>
      <w:r w:rsidR="00000000" w:rsidRPr="00000000" w:rsidDel="00000000">
        <w:rPr>
          <w:rtl w:val="0"/>
        </w:rPr>
        <w:t xml:space="preserve">. </w:t>
      </w:r>
      <w:r w:rsidR="00000000" w:rsidRPr="00000000" w:rsidDel="00000000">
        <w:rPr>
          <w:b w:val="1"/>
          <w:rtl w:val="0"/>
        </w:rPr>
        <w:t xml:space="preserve">EOSC pilotprojekta rekomendācijās politikas veidotājiem[10] norādīts, ka EOSC pakalpojumi ilgtermiņā var radīt apjomradītu ietaupījumu</w:t>
      </w:r>
      <w:r w:rsidR="00000000" w:rsidRPr="00000000" w:rsidDel="00000000">
        <w:rPr>
          <w:rtl w:val="0"/>
        </w:rPr>
        <w:t xml:space="preserve">. Ņemot par atskaites punktu 2021. gada finansējumu pētniecībai un attīstībai (232 milj. euro, EUROSTAT) un pieņemot, ka tiktu radīts 10 % ietaupījums, </w:t>
      </w:r>
      <w:r w:rsidR="00000000" w:rsidRPr="00000000" w:rsidDel="00000000">
        <w:rPr>
          <w:b w:val="1"/>
          <w:rtl w:val="0"/>
        </w:rPr>
        <w:t xml:space="preserve">13 gadu laikā datu pārvaldības un koplietošanas centralizēšanas rezultātā rastos 15,08 milj. euro ietaupījums</w:t>
      </w:r>
      <w:r w:rsidR="00000000" w:rsidRPr="00000000" w:rsidDel="00000000">
        <w:rPr>
          <w:rtl w:val="0"/>
        </w:rPr>
        <w:t xml:space="preserve">. Pieņemot, ka projekts par 5 % samazina komercsektora vajadzības pēc jauniem datiem un jaunas pētniecības, jo var izmantot otrreizējos un atvērtos datus, un ņemot par pamatu 2021. gada komercsektora finansētās pētniecības apjomu (76 milj. euro), </w:t>
      </w:r>
      <w:r w:rsidR="00000000" w:rsidRPr="00000000" w:rsidDel="00000000">
        <w:rPr>
          <w:b w:val="1"/>
          <w:rtl w:val="0"/>
        </w:rPr>
        <w:t xml:space="preserve">ekonomiski sociālais efekts uz komercsektoru 13 gados būs 49,4 milj.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1.1.1.6. pasākums atbilst arī DTP2027[11] noteiktajiem mērķiem [2] un īsteno uzdevumus</w:t>
      </w:r>
      <w:r w:rsidR="00000000" w:rsidRPr="00000000" w:rsidDel="00000000">
        <w:rPr>
          <w:rtl w:val="0"/>
        </w:rPr>
        <w:t xml:space="preserve">  4.4.12.-3 nodrošināt Latvijas dalību ESOC un Eiropas reģionālos kopprojektos, efektivizējot, attīstot un starptautiski integrējot nacionālās digitālās infrastruktūras un 4.4.12.-4  nodrošināt  digitālo pētniecības infrastruktūru un rīku pieejamību zinātniskajām institūcijām, pētniekiem un komersantiem, t.sk. piekļuvi attālinātajiem pārvaldības, skaitļošanas, apstrādes un glabāšanas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1.1.1.6. pasākums ir vērsts uz ZTAIP 2027[12] mērķu sasniegšanu</w:t>
      </w:r>
      <w:r w:rsidR="00000000" w:rsidRPr="00000000" w:rsidDel="00000000">
        <w:rPr>
          <w:rtl w:val="0"/>
        </w:rPr>
        <w:t xml:space="preserve">, jo dalība EOSC iniciatīvā atbalstīs un efektivizēs pētniecības un izglītības ekosistēmu nacionālā līmenī, nodrošinot pētniecības organizāciju iekšējās pārvaldības efektivitātes uzlabošanos, ciešāku integrāciju starp augstāko izglītību un pētniecību tai skaitā starptautisko pētniecības telpu,  kā arī resursu koplietošanas prakses ieviešanu 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sniegs būtisku ietekmi sekojošu P&amp;A sistēmai izvirzīto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Veidot zināšanu bāzi un radīt jaunas zināšanas kvalitatīvas un pētniecībā balstītas izglītības nodrošināšanai, pētniecības izcilības sekmēšanai un prasmīgas, gudras un radošas sabiedrības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Veidot ilgtspējīgu P&amp;A cilvēkkapitālu, attīstot talantus un prasmes, kā arī paplašinot sadarbības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Attīstīt jaunas tehnoloģijas inovatīvu produktu un pakalpojumu radīšanai, sekmējot uzņēmumu resursefektivitāti, tehnoloģisko transformāciju un iekļaušanos dažāda mēroga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Rast inovatīvus risinājumus sabiedrībai aktuāliem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Attīstīt P&amp;I kapacitāti uzņēmējdarbības produktivitātes paaugstināšanai un publiskās pārvaldes procesu efektivitātes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pasākums ir vērsts uz </w:t>
      </w:r>
      <w:r w:rsidR="00000000" w:rsidRPr="00000000" w:rsidDel="00000000">
        <w:rPr>
          <w:b w:val="1"/>
          <w:rtl w:val="0"/>
        </w:rPr>
        <w:t xml:space="preserve">Kiberdrošības likuma[13] (NIS2) mērķu sasniegšanu</w:t>
      </w:r>
      <w:r w:rsidR="00000000" w:rsidRPr="00000000" w:rsidDel="00000000">
        <w:rPr>
          <w:rtl w:val="0"/>
        </w:rPr>
        <w:t xml:space="preserve">. Veidojot  EOSC nacionālo mezglu, kiberdrošības un datu aizsardzības regulējums ir ļoti būtisks, izmantojot vienotu pieeju. EOSC nacionālā mezgla infrastruktūras kvalitāte un drošība tiks nodrošināta izmantojot starptautiski atzītus sertificēšanas mehānismus, specifikācijas un standartus. Pasākuma investīcijas paredz </w:t>
      </w:r>
      <w:r w:rsidR="00000000" w:rsidRPr="00000000" w:rsidDel="00000000">
        <w:rPr>
          <w:b w:val="1"/>
          <w:rtl w:val="0"/>
        </w:rPr>
        <w:t xml:space="preserve">EOSC nacionālā mezgla savienojamības nodrošināšanu ar citiem EOSC tīkla mezgliem, tai skaitā tīkla kiberdrošības atbilstības un kiberdrošības tehnisko pakalpojumu nodrošināšanu un drošas pētniecības vides izstrādi</w:t>
      </w:r>
      <w:r w:rsidR="00000000" w:rsidRPr="00000000" w:rsidDel="00000000">
        <w:rPr>
          <w:rtl w:val="0"/>
        </w:rPr>
        <w:t xml:space="preserve">. Kiberdrošības risinājumu izstrādes procesā un EOSC nacionālā mezgla informācijas sistēmu drošības līmeņa noteikšanai konsultēties un sadarboties ar Nacionālo kiberdrošības centru, tai skaitā ievērot Valsts informācijas sistēmu likumu[14];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ES mezgla CSIRT nodrošina centrālo kontaktu un atbalsta punktu drošības incidentiem EOSC ES mezgla pakalpojumiem, tā pat EOSC federācijas izveides procesā tiks izstrādīti vienota EOSC federācijas politika dažādās jomās (t.sk. Piekļuves politika; kiberdrošības, privātuma un datu aizsardzības politika; Intelektuālā īpašuma politika u.c.), kas jāintegrē arī EOSC nacionālā mezgla pārvaldības modelī. </w:t>
      </w:r>
      <w:r w:rsidR="00000000" w:rsidRPr="00000000" w:rsidDel="00000000">
        <w:rPr>
          <w:b w:val="1"/>
          <w:rtl w:val="0"/>
        </w:rPr>
        <w:t xml:space="preserve">Visi EOSC mezglu pakalpojumi tiek nodrošināti saderīgā, suverēnā un drošā mākoņos balstītā vidē, kas ir izstrādāta un darbosies saskaņā ar Vispārīgo datu aizsardzības regulu[15], lai novērstu nesankcionētu piekļuvi resursiem un ievērotu informācijas pārvaldības standartus tai skaitā ievērojot atzītos zinātniskās pētniecības ētiskas standartus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1.1.1.6. pasākumu, prasības projekta iesniedzējam, finansējuma saņēmējam un sadarbības partneriem, sasniedzamo mērķi un rādītājus, atbalstāmās darbības, izmaksu attiecināmības nosacījumus,  vienkāršoto izmaksu piemērošanas nosacījumus un kārtību, projekta īstenošanas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mērķa grupa</w:t>
      </w:r>
      <w:r w:rsidR="00000000" w:rsidRPr="00000000" w:rsidDel="00000000">
        <w:rPr>
          <w:rtl w:val="0"/>
        </w:rPr>
        <w:t xml:space="preserve"> ir pētnieki publiskā un privātā sektorā, zinātniskās institūcijas, kas atbilst pētniecības organizācijas statusam, ko nosaka atbilstoši  EK Regulas Nr. 651/2014 2. panta 83. punkta definīcijai un IZM apstiprinātajai metodikai par pētniecības un zināšanu izplatīšanas organizācijas noteikšanu[16], augstskolas, valsts tiešās pārvaldes iestādes, kas iesaistītas augstākās izglītības un pētniecības digitālo pakalpojumu izstrādē, ieviešanā un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pasākumam  kopējais attiecināmais finansējums ir 21 750 002 euro (tai skaitā elastības finansējums – 5 007 778 euro), tai skaitā Eiropas Reģionālās attīstības fonda finansējums 18 487 502 euro (tai skaitā elastības finansējums – 4 256 611 euro) un valsts budžeta līdzfinansējums – 3 262 500 euro (tai skaitā elastības finansējums – 751 167 euro). Maksimālais attiecināmais ERAF finansējuma apmērs nepārsniedz 85 procentus no projekta kopējā attiecināmā finansējuma. 1.1.1.6. pasākumam ERAF finansējumu piešķir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pasākums tiks īstenots ierobežotas projektu iesniegumu atlases veidā. </w:t>
      </w:r>
      <w:r w:rsidR="00000000" w:rsidRPr="00000000" w:rsidDel="00000000">
        <w:rPr>
          <w:b w:val="1"/>
          <w:rtl w:val="0"/>
        </w:rPr>
        <w:t xml:space="preserve">Projekta iesniedzējs ir biedrība, kas pilda pārvaldes uzdevumu izveidot un uzturēt augstākās izglītības un pētniecības digitālos pakalpojumus (turpmāk – Biedrība), un Biedrība ir pilnvarotā organizācija[17] (mandated organization) EOSC Asociācijā[18].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pilda arī </w:t>
      </w:r>
      <w:r w:rsidR="00000000" w:rsidRPr="00000000" w:rsidDel="00000000">
        <w:rPr>
          <w:b w:val="1"/>
          <w:rtl w:val="0"/>
        </w:rPr>
        <w:t xml:space="preserve">augstākās izglītības un zinātnes nozares institūciju sadarbības organizēšanas un interešu salāgošanas funkciju </w:t>
      </w:r>
      <w:r w:rsidR="00000000" w:rsidRPr="00000000" w:rsidDel="00000000">
        <w:rPr>
          <w:rtl w:val="0"/>
        </w:rPr>
        <w:t xml:space="preserve">– augstskolu un zinātnisko institūciju vajadzību apzināšanu, veido vienošanos par visām pusēm pieņemamiem risinājumiem, t.sk. ņemot vērā arī augstākās izglītības un zinātnes politikas, un sabiedrības intereses. Tāpat Biedrības funkcijas ir </w:t>
      </w:r>
      <w:r w:rsidR="00000000" w:rsidRPr="00000000" w:rsidDel="00000000">
        <w:rPr>
          <w:b w:val="1"/>
          <w:rtl w:val="0"/>
        </w:rPr>
        <w:t xml:space="preserve">zināšanu un labāko prakšu apguve, izstrāde, un uzturēšana augstākās izglītības un zinātnes digitalizācijā, kopēju nozares attīstības projektu organizēšana, tai skaitā projektu vadība, aktivitāšu saskaņošana un salāgošana dažādās institūcijās, kopējo aktivitāšu organizēšana, iepirkumi, darbs ar piegādātājiem, tirgū pieejamo pakalpojumu un risinājumu komplektēšana lietotājiem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Ierobežotu resursu apstākļos </w:t>
      </w:r>
      <w:r w:rsidR="00000000" w:rsidRPr="00000000" w:rsidDel="00000000">
        <w:rPr>
          <w:b w:val="1"/>
          <w:rtl w:val="0"/>
        </w:rPr>
        <w:t xml:space="preserve">efektīvāka ir nozares organizācijas specializācija</w:t>
      </w:r>
      <w:r w:rsidR="00000000" w:rsidRPr="00000000" w:rsidDel="00000000">
        <w:rPr>
          <w:rtl w:val="0"/>
        </w:rPr>
        <w:t xml:space="preserve">, nevis katras institūcijas individuāls darbs, kā arī šādi ir iespējams panākt labāku sadarbību nozares institūciju starpā projektu īstenošanā un labāku līdzsvaru starp nozares un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ir dalībnieks EOSC Asociācijā</w:t>
      </w:r>
      <w:r w:rsidR="00000000" w:rsidRPr="00000000" w:rsidDel="00000000">
        <w:rPr>
          <w:rtl w:val="0"/>
        </w:rPr>
        <w:t xml:space="preserve">, kuras mērķis ir veicināt atvērtās zinātnes prakses, lai paātrinātu jaunu zināšanu radīšanu, radītu inovācijas un veicinātu zināšanu pieejamību. EOSC Asociācijas starptautiskie mērķi ir, pirmkārt, nodrošināt vienotu nostāju visu EOSC ieinteresēto pušu aizstāvībai un pārstāvībai, otrkārt, veicināt ES pētniecības politikas un prioritāšu saskaņošanu ar asociācijas koordinētajām darbībām un, treškārt, nodrošināt netraucētu piekļuvi datiem, izmantojot sadarbspējīgus pakalpojumus, kas attiecas uz visu pētniecības datu aprites ciklu, no datu atklāšanas līdz glabāšanai, pārvaldībai, analīzei un atkalizmantošanai starp valstu robežām un zinātnes disciplīnām.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Pamatojoties uz EOSC Asociācijas statūtu[19] 2. punkta 2.1 apakšpunktu, tās biedri nevar būt valsts iestādes vai to departamenti, tām ir jābūt organizācijām, kuras tieši ir ieinteresētas veidot EOSC. Katra dalībvalsts nosaka vienu organizāciju, kura ir pilnvarota pārstāvēt nacionālās intereses EOSC Asociācijā. Biedrība ir pilnvarotā organizācija EOSC Asociācijā.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veicinās Latvijas augstākās izglītības un pētniecības iestāžu attīstību un starptautisko konkurētspēju, integrējot, attīstot un sniedzot kvalitatīvus koplietošanas informācijas tehnoloģiju pakalpojumus. Biedrībai ir jānodrošina valsts finansēti pamatpakalpojumi visām pētniecības iestādēm, kā arī jāparedz iespēja organizācijas darbībā iesaistīt citas pētniecības iestādes. Biedrība nodrošinās vērtīgu, kvalitatīvu un drošu atvērto datu infrastruktūru, kas balstīta uz starptautiskām specifikācijām un standartiem, izmantojot atvērtā koda sistēmas un programmatūru. Biedrībai ir būtiska loma atvērtās zinātnes stratēģijas īstenošanā, jo tā nodrošinās nepieciešamo digitālās koplietošanas infrastruktūru pētniecības iestādēm un pētniekiem, kā arī veicinās iesaistīšanos starptautiskās iniciatīvās. Dalība EOSC Asociācijā nodrošina Biedrībai un tās biedriem iespēju piedalīties EOSC darbsemināros, apmācībās u.c. aktivitātēs.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īstenos projektu sadarbībā ar zinātnes universitātēm</w:t>
      </w:r>
      <w:r w:rsidR="00000000" w:rsidRPr="00000000" w:rsidDel="00000000">
        <w:rPr>
          <w:rtl w:val="0"/>
        </w:rPr>
        <w:t xml:space="preserve">: Latvijas Biozinātņu un tehnoloģiju universitāti, Latvijas Universitāti, Rīgas Stradiņa universitāti un Rīgas Tehnisko universitāti (turpmāk –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sasniegtu 1.1.1.6. pasākuma mērķi un nodrošinātu, ka vismaz 20 institūcijas lieto EOSC nacionālo mezglu, bez minētajiem sadarbības partneriem </w:t>
      </w:r>
      <w:r w:rsidR="00000000" w:rsidRPr="00000000" w:rsidDel="00000000">
        <w:rPr>
          <w:b w:val="1"/>
          <w:u w:val="single"/>
          <w:rtl w:val="0"/>
        </w:rPr>
        <w:t xml:space="preserve">projekta iesniedzējs projekta īstenošanas aktivitātes var veikt arī citās augstskolās vai pētniecības organizācijās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 ietvaros plānotas šādas </w:t>
      </w:r>
      <w:r w:rsidR="00000000" w:rsidRPr="00000000" w:rsidDel="00000000">
        <w:rPr>
          <w:b w:val="1"/>
          <w:rtl w:val="0"/>
        </w:rPr>
        <w:t xml:space="preserve">atbalstāmās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EOSC nacionālā mezgla izveidošana[20], kas ietver ar EOSC Eiropas Savienības mezgla savienojama un tā federācijas noteikumiem[21] atbilstošas infrastruktūras un datu izmantošanas pakalpojumu izstrādi, ieviešanu un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EOSC nacionālā mezgla droša nacionālā pētniecības un akadēmiskā datu pārraides tīkla (turpmāk – tīkls) risinājuma izstrāde, ieviešana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EOSC nacionālā mezgla un tīkla pārvaldības un drošības pakalpojumu, autorizācijas un autentifikācijas infrastruktūras un pakalpojumu, kā arī kiberdrošības atbilstības un kiberdrošības pakalpojumu izstrāde, ieviešana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EOSC nacionālā mezgla pētniecības datu digitālo pakalpojumu, balstītu uz FAIR datu pārvaldības principiem, tai skaitā, datu un saistīto digitālo resursu un rīku koplietošanas un publiskošanas platformas, repozitoriju, datu drošās apstrādes vides, datu apstrādes rīku un programmatūras, datos balstītas pētniecības pārvaldības pakalpojumu, datu drošās uzglabāšanas un skaitļošanas resursu un pakalpojumu izstrāde, ieviešana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Drošas virtuālas vides darbam ar datiem un rīkiem datu apstrādei un analīzei izstrāde, ieviešana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EOSC nacionālā mezgla tīkla, kiberdrošības pakalpojumu, pētniecības datu digitālo pakalpojumu, datu, resursu un rīku pārvaldības, meklēšanas, un sadarbības vides (lietotāju un administratoru vides) izstrāde, ieviešana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EOSC nacionālā mezgla uzturēšanas, pārvaldības, attīstības un atbalsta organizācijas, un sistēmas izveidošana, iekļaujot EOSC nacionālā mezgla monitoringa sistēmas izveidošanu un ieviešanu, atbalsta pakalpojumu, pārvaldības un attīstības funkciju izveidi un to nodrošināšanu projekta norises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pētniecības procesu saistītā sadarbības partneru personāla un pētniecības organizāciju personāla, kuri izmanto vai plāno izmantot EOSC nacionālā mezgla pakalpojumus, kompetenču pilnveide EOSC nacionālā mezgla pakalpojumu izmantošanas un zinātnes digitālās transformācijas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atbalstāmajās darbībās minēto sistēmu un pakalpojumu ieviešana ietver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to izveidi un ieviešanu saistītā tehniskā aprīkojuma, programmatūras un citu licenču, un pakalpojumu (tajā skaitā mākoņpakalpojumu) iegādi vai nomu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izstrādāšanu, pārbūvi, pielāgošanu, konfigurēšanu,  adaptāciju un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sistēmu integrāciju (tajā skaitā savienošanu ar sistēmām citās institūcijās un valstīs), uzturēšanu un nodrošināšanu; ar to izveidi un ieviešanu saistīto prasību un biznesa procesu analīzi un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esošās situācijas analīzi un auditus;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labāko prakšu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tehnoloģisko standartu, datu standartu un struktūru, procedūru un nosacījumu, pārvaldības pakalpojumu atlasi, izstrādi, pielāgošanu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pakalpojumu tehnisko projektēšanu, izstrādi, sistēmu arhitektūras un integrācijas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dokumentācijas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biznesa procesu maiņu saistībā ar digitalizāciju (iekšējās procedūras un funkcijas) un jaunu funkciju un pakalpojumu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datu sagatavošanu, digitalizāciju, pārnešanu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pētniecības organizāciju sadarbības procedūru izveidi digitalizēto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pakalpojumu koplietošanas un sadarbības organizatorisko struktūru, sadarbības procedūru un nosacījumu izstrādi un ieviešanu EOSC nacionālajā mezglā un pētniecības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reģistrēšanas un dalības maksu starptautiskajās organizācijās un tīklos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zinātniskā personāla, pētniecības organizāciju administratīvā personāla, sistēmu lietotāju un apkalpojošā personāla mācības un informēšanu par darbu ar EOSC mezgla pakalpojumiem, ieskaitot pasākumus un materiālu sagatavošanu, reģistrēšanu vai dalību starptautiskajās organizācijās un tīklos, lai nodrošinātu starptautisku sadarbību un datu apmaiņu.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projekta iesniegumu atbilstoši projekta iesniegumu atlases nolikumā noteiktajām prasībām un iesniedz to sadarbības iestādē, izmantojot Kohēzijas politikas fondu vadības informācijas sistēmas elektronisko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pasākumam ir</w:t>
      </w:r>
      <w:r w:rsidR="00000000" w:rsidRPr="00000000" w:rsidDel="00000000">
        <w:rPr>
          <w:b w:val="1"/>
          <w:rtl w:val="0"/>
        </w:rPr>
        <w:t xml:space="preserve"> šādi izmaksu veidi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tiešās attiecināmās izmaksas</w:t>
      </w:r>
      <w:r w:rsidR="00000000" w:rsidRPr="00000000" w:rsidDel="00000000">
        <w:rPr>
          <w:rtl w:val="0"/>
        </w:rPr>
        <w:t xml:space="preserve">, kas ir tieši saistītas ar projekta īstenošanu un nepieciešamas rezultātu sasniegšanai, un šī saistība ir skaidri saprotama un pierādāma;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netiešās attiecināmās izmaksas</w:t>
      </w:r>
      <w:r w:rsidR="00000000" w:rsidRPr="00000000" w:rsidDel="00000000">
        <w:rPr>
          <w:rtl w:val="0"/>
        </w:rPr>
        <w:t xml:space="preserve">, kas nav tieši saistītas ar projekta rezultātu sasniegšanu, bet atbalsta un nodrošina atbilstošus apstākļus atbalstāmo darbību īstenošanai un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 ietvaros plānotas šādas </w:t>
      </w:r>
      <w:r w:rsidR="00000000" w:rsidRPr="00000000" w:rsidDel="00000000">
        <w:rPr>
          <w:b w:val="1"/>
          <w:rtl w:val="0"/>
        </w:rPr>
        <w:t xml:space="preserve">tiešās attiecināmās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attiecināmās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personāla atlīdzības izmaksas, izņemot virsstundas, kas ir attiecināmas kā faktiskās izmaksas, paredzot projekta vadības personāla izmaksu ierobežojumu līdz 84 787 euro kalendārajā gadā. Ja personāla iesaiste projektā ir nodrošināta saskaņā ar daļlaika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īstenošanas personāla, tai skaitā ekspertu, speciālistu, konsultantu, tostarp ārvalstu, atlīdzības izmaksas, izņemot virsstundas, kas ir attiecināmas kā faktiskās izmaksas. Ja personāla iesaiste projektā ir nodrošināta saskaņā ar daļlaika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izmaksas atbilstoši “Vadlīnijas attiecināmo izmaksu noteikšanai Eiropas Savienības kohēzijas politikas programmas 2021.-2027.gada plānošanas periodā” ietver gan darba samaksu (t.i. mēnešalgu (darba algu), piemaksas, prēmijas, naudas balvas) un sociālās garantijas (t.i. pabalstus, kompensācijas, apdrošināšanu) un atvaļinājuma izmaksas, ievērojot Finansējuma saņēmēja iekšējos normatīvajos aktos noteikto personāla izmaksu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jaunradītu darba vietu aprīkojuma, tai skaitā biroja mēbeļu un tehnikas, datorprogrammu un licenču iegādes vai nomas izmaksas, aprīkojuma uzturēšanas un remonta izmaksas vai esošo darba vietu atjaunošanas izmaksas, ja esošo darba vietu aprīkojums ir nolietojies un tiek norakstīts, ne vairāk kā 3000 euro vienai darba vietai visā projekta īstenošanas laikā, ja personāls ir nodarbināts projektā uz darba līguma pamata. Ja personāls ir nodarbināts normālu darba laiku, darba vietas aprīkojuma iegādes vai nomas izmaksas ir attiecināmas 100 procentu apmērā. Ja personāls ir nodarbināts nepilnu darba laiku, darba vietas aprīkojuma iegādes vai nomas izmaksas ir attiecināmas proporcionāli darba slodzes procentuālajam sadalījumam. Ja personāls ir nodarbināts saskaņā ar daļlaika attiecināmības principu, darba vietas aprīkojuma iegādes vai nomas izmaksas ir attiecināmas proporcionāli darba slodzes procentuālajam sadalījumam un ņemot vērā darbinieka iesaistes periodu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iekšzemes komandējumu un darba braucienu izmaksas finansējuma saņēmējam un sadarbības partneriem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ārvalstu komandējumu izmaksas finansējuma saņēmējam un sadarbības partneriem atbilstoši normatīvajiem aktiem, kas nosaka kārtību, kādā atlīdzināmi ar komandējumiem saistītie izdevumi, ja tās ir skaidri saistāmas ar projekta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transporta izmaksas (maksa par degvielu, maksa par sabiedriskā transporta izmantošanu) finansējuma saņēmējam un sadarbības partneriem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pārējās transporta pakalpojumu izmaksas (transportlīdzekļu noma, transporta pakalpojumu pirkšana) finansējuma saņēmēja projekta īstenošanas un vadības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apmācību, semināru, diskusiju un pieredzes apmaiņas pasākumu organizēšanu un īstenošanu saistītās izmaksas, tai skaitā telpu īres izmaksas finansējuma saņēmējam (ja projekta aktivitāšu īstenošanai nepieciešams īrēt telpas ārpus finansējuma saņēmēja vai projekta īstenošanas sadarbības partnera juridiskās un faktiskās uzturēšanās adreses) un izdales materiālu nodrošinājuma un publicēšanas izmaksas, dalībnieku piesaistes un reprezentācijas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pakalpojumu un piegādes izmaksas finansējuma saņēmējam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licenču iegādes izmaksas finansējuma saņēmējam un sadarbības partneriem, tai skaitā licenču atjauninājumu iegādes izmaksas licenču darbības periodā, kas nepārsniedz projekta īstenošanas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ārvalstu ekspertu piesaistes izmaksas (t.sk. ekspertu komandējuma izdevumu segšanu) finansējuma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komunikācijas un vizuālās identitātes prasību nodrošināšanas izmaksas finansējuma saņēmējam, lai nodrošinātu minētās prasības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kas nosaka kārtību, kādā ES fondu vadībā iesaistītās institūcijas nodrošina šo fondu ieviešanu 2021.–2027.gada plānošanas periodā, kā arī ievērojot ES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Netiešās attiecināmās izmaksas </w:t>
      </w:r>
      <w:r w:rsidR="00000000" w:rsidRPr="00000000" w:rsidDel="00000000">
        <w:rPr>
          <w:u w:val="single"/>
          <w:rtl w:val="0"/>
        </w:rPr>
        <w:t xml:space="preserve">plāno kā vienu izmaksu pozīciju, piemērojot netiešo izmaksu vienoto likmi 15 procentu apmērā no tiešajām attiecināmajām personāla izmaksām, kas radušās uz darba līguma pamata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izskatīti visi “Vadlīnijās par vienkāršoto izmaksu izmantošanas iespējām un to piemērošana ES kohēzijas politikas programmas 2021.-2027.gadam ietvaros” piedāvātie vienkāršoto izmaksu veidi, taču secināts, ka </w:t>
      </w:r>
      <w:r w:rsidR="00000000" w:rsidRPr="00000000" w:rsidDel="00000000">
        <w:rPr>
          <w:u w:val="single"/>
          <w:rtl w:val="0"/>
        </w:rPr>
        <w:t xml:space="preserve">1.1.1.6. pasākuma projekta struktūras dēļ, kur ievērojamu daļu no izmaksām veido infrastruktūras, licenču, pakalpojumu izmaksas, nav identificētas tādas izmaksas, kuru vienkāršākai uzskaitei būtu lietderīgi izstrādāt tādu vienkāršoto izmaksu metodiku, kas neierobežos projektu mērķu un rezultātu sasniegšanu</w:t>
      </w:r>
      <w:r w:rsidR="00000000" w:rsidRPr="00000000" w:rsidDel="00000000">
        <w:rPr>
          <w:rtl w:val="0"/>
        </w:rPr>
        <w:t xml:space="preserve">, līdz ar to nav iespējams piemērot citas šo vadlīniju 27. punktā piedāvātās izmaksas kā tikai šo vadlīniju 27.2. apakšpunktā[22] minēto “netiešo izmaksu vienotā likme 15% apmērā no tiešajām attiecināmajām personāla izmaksām”. Vienlaikus, 1.1.1.6. pasākumam atbilstoši jomai – “Informācijas tehnoloģijas”, tiks piemēroti dažādi tirgus koeficienti katra amata specifiskās jomas piemērojamā tirgus koeficienta robežās saskaņā ar Ministru kabineta 2022. gada 21. jūnija noteikumiem Nr. 361 "Noteikumi par valsts institūciju amatpersonu un darbinieku darba samaksu un tās noteikšanas kārtību, kā arī par profesijām un specifiskajām jomām, kurām piemērojams tirgus koeficients" 5.  pielikumu “Profesijas un specifiskās jomas, kurām piemērojams tirgus koeficients, un piemērojamā tirgus koeficienta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īstenošanas laikā atbildīgā iestāde vai vadošā iestāde izstrādā vienkāršoto izmaksu metodiku kādām no augstāk minētajām izmaksām, tām piemēro atbildīgās iestādes vai vadošās iestādes izstrādāto metodiku attiecībā uz atbilstoši metodikā noteiktajam spēkā stāšanās laikam un nosacījumiem, izņemot attiecībā uz projekta vadības un īstenošanas personāla izmaksām, ievērojot, ka personāla  izmaksu apmērs ir pamatots ar atbildīgās iestādes veiktajiem aprēķiniem, ņemot vērā konkurētspējas nosacījumus un vidējo atalgojumu informācijas tehnoloģiju jomā ES, lai projekta īstenošanai piesaistītu augsti kvalificētu personālu. Detalizēts aprēķins ir pieejams atbildīgajā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 ietvaros</w:t>
      </w:r>
      <w:r w:rsidR="00000000" w:rsidRPr="00000000" w:rsidDel="00000000">
        <w:rPr>
          <w:b w:val="1"/>
          <w:rtl w:val="0"/>
        </w:rPr>
        <w:t xml:space="preserve"> finansējuma saņēmējam izmaksas ir attiecināmas no 1.1.1.6. pasākuma īstenošanas noteikumu spēkā stāšanās dienas</w:t>
      </w:r>
      <w:r w:rsidR="00000000" w:rsidRPr="00000000" w:rsidDel="00000000">
        <w:rPr>
          <w:rtl w:val="0"/>
        </w:rPr>
        <w:t xml:space="preserve">, ja tās atbilst noteikumos minētajām izmaksu pozīcijām. Projekta sadarbības partneriem izmaksas ir attiecināmas pēc sadarbības līgumu noslēgšanas, bet ne agrāk kā no dienas, kad noslēgta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Kvalitatīvai projektu ieviešanai Projekta īstenotājam </w:t>
      </w:r>
      <w:r w:rsidR="00000000" w:rsidRPr="00000000" w:rsidDel="00000000">
        <w:rPr>
          <w:b w:val="1"/>
          <w:rtl w:val="0"/>
        </w:rPr>
        <w:t xml:space="preserve">indikatīvi būtu nepieciešams vismaz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EOSC projektu vadītājs ar IT infrastruktūras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EOSC projektu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iepirkumu vadītājs ar Eiropas līmeņa iepirkumu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starptautiskā EOSC pakalpojumu/infrastruktūras vecākais eksperts ar pieredzi EOSC mezgla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EOSC nacionālā mezgla un ekosistēmas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EOSC nacionālā mezgla infrastruktūras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EOSC mezgla pakalpojumu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IT infrastruktūras un pakalpojumu drošības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Vismaz divi IT drošības vecākie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IT drošības atbalsta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vismaz divi vadošie tīkla un IT pakalpojumu administratori,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vismaz seši pakalpojumu attīstības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tehniskās dokumentācijas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tehniskā projektu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tehniskā projektu vadītāja asistents,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datu analītiķis,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IT pakalpojumu atbalsta speciālists (pirmā un otrā līmeņa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īstermiņa eksperti (no universitātēm un zinātniskajiem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vecākais eksperts komunikācijas jautājumos  jeb komunikācijas vadītājs,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kopā vismaz 30 darbinieki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 amati un lomas tiek plānoti, balstoties uz plānotās ekosistēmas elementu aprakstiem no GEANT vadlīnijām[23],  EOSC federācijas noteikumiem[24], CERT.LV (Kiberincidentu novēršanas institūcijas) rekomendācijām un Vienotā valsts interneta plūsmu apmaiņas punkta (GLV IX) prasībām[25] par monitoringu. Lai arī lielākoties minētajās vadlīnijās un rekomendācijās netiek minēti konkrēti amati, bet lomas ir aprakstītas funkcionāli, tas ir ļāvis izveidot indikatīvo Projekta amatu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vietu skaitu un veidus, projekta iesniedzējs, iesniedzot projekta iesniegumu, var precizēt, ņemot vērā faktiskās vajadzības un augstākminētās vadlīnijas un rekomendācijas, kas laika gaitā tiek pilnveidotas un papildinātas.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augstākminētajām GEANT rekomendācijām, ir vēlams, ka finansējuma saņēmējs algu noteikšanai piemēro maksimālos mēnešalgu intervālus, jo GEANT publicējos pētījumos tiek norādīts uz nākotnes izaicinājumiem, kas saistīti ar kvalificēta IT personāla piesaisti. Norādīts, ka jau tagad NREN sastopas ar nepieciešamību aktīvi piesaistīt personālu no citām, ar zinātni un izglītību nesaistītām, nozarēm. IT darba tirgus turpinās globalizēties un darbinieku noturēšanai būs nepieciešams pielāgoties atalgojumu kāpumam.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amata pienākumiem, kompetencēm, nepieciešamās pieredzes un atbildības jomas, īstenošanas personāla amatiem tiks piemēroti tirgus koeficienti katra amata specifiskās jomas piemērojamā tirgus koeficienta robežās saskaņā ar Ministru kabineta 2022. gada 21. jūnija noteikumiem Nr. 361 "Noteikumi par valsts institūciju amatpersonu un darbinieku darba samaksu un tās noteikšanas kārtību, kā arī par profesijām un specifiskajām jomām, kurām piemērojams tirgus koeficients" 5.  pielikumu “Profesijas un specifiskās jomas, kurām piemērojams tirgus koeficients, un piemērojamā tirgus koeficienta robežas” (atbilstoši jomai: Informācijas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attīstības eksperti un īstermiņa eksperti tiks nodarbināti pie finansējuma saņēmēja, bet darbu veiks gan pie sadarbības partneriem, zinātniskajām institūcijām un citām institūcijām, kas izmantos vai plānos izmantot EOSC nacionālā mezgla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pārvaldes darbinieku skaitu nav paredzēts palielināt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tiks noteikti pienākumi projekta vadības un īstenošanas personālam, kur tiks vērtēta funkciju un izmaksu nepārklāšanās. Projekta vadības un īstenošanas personāla darbība tiks nošķirta no citām noteikumu projektā paredzētajām darbībām, kas tiks noteikts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projekta īstenošanu, tiks izvērtēta esošo cilvēkresursu kapacitāte, nepieciešamības gadījumā piesaistot personālu uz darba līguma pamata vai nodrošinot projekta darbību īstenošanu ārpakalpojuma ietvaros. Ja tiks veidota jauna štata vieta, tad projekta ietvaros tik attiecinātas aprīkojuma, tai skaitā biroja mēbeļu un tehnikas, datorprogrammu un licences iegādes vai nomas izmaksas, aprīkojuma uzturēšanas un remonta izmaksas,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 Ja projekta vadības vai īstenošanas personāls ir nodarbināts daļlaiku, tiek ņemts vērā darbinieka iesaistes periods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Pēc investīcijas projekta noslēguma, EOSC nacionālā mezgla un tā pakalpojumu uzturēšanas izmaksas paredzēts segt no Zinātniskās darbības bāzes finansējuma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 ietvaros līdz 2029. gada 31. decembrim ir sasniedzams šāds </w:t>
      </w:r>
      <w:r w:rsidR="00000000" w:rsidRPr="00000000" w:rsidDel="00000000">
        <w:rPr>
          <w:b w:val="1"/>
          <w:rtl w:val="0"/>
        </w:rPr>
        <w:t xml:space="preserve">uzraudzības rādītājs</w:t>
      </w:r>
      <w:r w:rsidR="00000000" w:rsidRPr="00000000" w:rsidDel="00000000">
        <w:rPr>
          <w:rtl w:val="0"/>
        </w:rPr>
        <w:t xml:space="preserve">: pētniecības un inovācijas aprīkojuma nominālā vērtība – 2 700 000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pasākumam ir noteikti šādi </w:t>
      </w:r>
      <w:r w:rsidR="00000000" w:rsidRPr="00000000" w:rsidDel="00000000">
        <w:rPr>
          <w:b w:val="1"/>
          <w:rtl w:val="0"/>
        </w:rPr>
        <w:t xml:space="preserve">nacionālie rādītāji</w:t>
      </w:r>
      <w:r w:rsidR="00000000" w:rsidRPr="00000000" w:rsidDel="00000000">
        <w:rPr>
          <w:rtl w:val="0"/>
        </w:rPr>
        <w:t xml:space="preserve">, kas ir jāsasniedz līdz 2029. gada 30.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Zinātnisko institūciju piesaistītais programmas Apvārsnis Eiropa finansējums līdz programmas Apvārsnis Eiropa noslēgumam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EOSC nacionālā mezgla lietotāju (institūciju) skaits – vismaz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Izveidots EOSC nacionālais mezgls ar tīkla, drošības pakalpojumu, datu izmantošanas rīku pārvaldības un meklēšanas vidi un datu drošās glabāšanas un apstrādes vidi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Izveidoti EOSC nacionāla mezgla datu izmantošanas pakalpojumi – vismaz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Izveidoti EOSC nacionālā mezgla pārvaldības un drošības pakalpojumi – vismaz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 ietvaros Kohēzijas politikas fondu vadības informācijas sistēmā </w:t>
      </w:r>
      <w:r w:rsidR="00000000" w:rsidRPr="00000000" w:rsidDel="00000000">
        <w:rPr>
          <w:b w:val="1"/>
          <w:rtl w:val="0"/>
        </w:rPr>
        <w:t xml:space="preserve">finansējuma saņēmējam jāuzkrāj dati par nacionālajiem rādītājiem un RIS3 rādītājiem</w:t>
      </w:r>
      <w:r w:rsidR="00000000" w:rsidRPr="00000000" w:rsidDel="00000000">
        <w:rPr>
          <w:rtl w:val="0"/>
        </w:rPr>
        <w:t xml:space="preserve">. Finansējuma saņēmējs uzkrāj RIS3 rādītājus par kopējiem  pētniecības un attīstības kapitālizdevumiem – ēkas, iekārtas, intelektuālā īpašuma tiesības, datoru programmatūra (euro). </w:t>
      </w:r>
      <w:r w:rsidR="00000000" w:rsidRPr="00000000" w:rsidDel="00000000">
        <w:rPr>
          <w:b w:val="1"/>
          <w:rtl w:val="0"/>
        </w:rPr>
        <w:t xml:space="preserve">Pasākuma ietvaros pieejamais publiskais finansējums attiecas uz RIS3 informācijas un komunikācijas tehnoloģiju jomu</w:t>
      </w:r>
      <w:r w:rsidR="00000000" w:rsidRPr="00000000" w:rsidDel="00000000">
        <w:rPr>
          <w:rtl w:val="0"/>
        </w:rPr>
        <w:t xml:space="preserve">. Finansējuma saņēmējs minēto informāciju iesniedz Kohēzijas politikas fondu vadības informācijas sistēmā kopā ar maksājuma pieprasījumu. Atbildību par uzkrāto nacionālo rādītāju datu un RIS3 rādītāju ticamību uzņemas finansējuma saņēmējs un sadarbības iestāde neveic šo datu pārbaudi (uzkrātie dati ir informatīvi un kalpo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 nodrošina projekta īstenošanas finanšu plūsmas un darbību veidu skaidru nodalīšanu no citu finansējuma saņēmēja un sadarbības partnera darbību finanšu plūsmām un darbību veidiem, tai skaitā novēršot dubultā finansējuma risku un pārklāšanos ar citiem valsts un ārvalstu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 ietvaros finansējuma saņēmējs īsteno projektu, kas </w:t>
      </w:r>
      <w:r w:rsidR="00000000" w:rsidRPr="00000000" w:rsidDel="00000000">
        <w:rPr>
          <w:b w:val="1"/>
          <w:u w:val="single"/>
          <w:rtl w:val="0"/>
        </w:rPr>
        <w:t xml:space="preserve">nav saistīts ar saimnieciskās darbības veikšanu</w:t>
      </w:r>
      <w:r w:rsidR="00000000" w:rsidRPr="00000000" w:rsidDel="00000000">
        <w:rPr>
          <w:rtl w:val="0"/>
        </w:rPr>
        <w:t xml:space="preserve">. Projekta ietvaros tiks veikta EOSC nacionālā mezgla, pētniecības datu pārvaldības atbalsta ieviešana un citu pakalpojumu pieejamības nodrošināšana augstākās izglītības iestādēs un zinātniskajās institūcijās. </w:t>
      </w:r>
      <w:r w:rsidR="00000000" w:rsidRPr="00000000" w:rsidDel="00000000">
        <w:rPr>
          <w:b w:val="1"/>
          <w:u w:val="single"/>
          <w:rtl w:val="0"/>
        </w:rPr>
        <w:t xml:space="preserve">Projekta darbības un atvērtās zinātnes platforma nerada ieņēmumus.</w:t>
      </w:r>
      <w:r w:rsidR="00000000" w:rsidRPr="00000000" w:rsidDel="00000000">
        <w:rPr>
          <w:rtl w:val="0"/>
        </w:rPr>
        <w:t xml:space="preserve"> Projekta īstenošanas laikā nav paredzēti ieņēmumi. </w:t>
      </w:r>
      <w:r w:rsidR="00000000" w:rsidRPr="00000000" w:rsidDel="00000000">
        <w:rPr>
          <w:b w:val="1"/>
          <w:u w:val="single"/>
          <w:rtl w:val="0"/>
        </w:rPr>
        <w:t xml:space="preserve">Netiek plānota preču vai pakalpojumu laišana tirgū, un projekta finansējums tiek piešķirts tikai darbībām, kurām nav ietekmes uz tirdzniecību un konkurenci ES iekšējā tirgū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2022. gada 28. oktobra paziņojuma "Pētniecībai, izstrādei un inovācijai piešķiramā valsts atbalsta nostādnes" 20. punkta (a) apakšpunkta (iii) apakšpunktam Eiropas Komisija </w:t>
      </w:r>
      <w:r w:rsidR="00000000" w:rsidRPr="00000000" w:rsidDel="00000000">
        <w:rPr>
          <w:u w:val="single"/>
          <w:rtl w:val="0"/>
        </w:rPr>
        <w:t xml:space="preserve">pētniecības rezultātu plašu izplatīšanu bez ekskluzivitātes un diskriminēšanas (piemēram, izmantojot mācīšanu, brīvas piekļuves datubāzes, atklātās publikācijas vai atklātā pirmkoda programmatūru) uzskata par darbību bez saimnieciska rakstura</w:t>
      </w:r>
      <w:r w:rsidR="00000000" w:rsidRPr="00000000" w:rsidDel="00000000">
        <w:rPr>
          <w:rtl w:val="0"/>
        </w:rPr>
        <w:t xml:space="preserve">. </w:t>
      </w:r>
      <w:r w:rsidR="00000000" w:rsidRPr="00000000" w:rsidDel="00000000">
        <w:rPr>
          <w:b w:val="1"/>
          <w:u w:val="single"/>
          <w:rtl w:val="0"/>
        </w:rPr>
        <w:t xml:space="preserve">Līdz ar to 1.1.1.6. pasākuma ietvaros īstenojamās darbības nav kvalificējamas kā saimnieciskā darbība un komercdarbības atbalsta sniegšana nav paredzēta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īstenošanas gaitā radies izmaksu sadārdzinājums, finansējuma saņēmējs sedz to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Publiskos iepirkumus</w:t>
      </w:r>
      <w:r w:rsidR="00000000" w:rsidRPr="00000000" w:rsidDel="00000000">
        <w:rPr>
          <w:u w:val="single"/>
          <w:rtl w:val="0"/>
        </w:rPr>
        <w:t xml:space="preserve"> finansējuma saņēmējs un sadarbības partneri veic atklātā, pārredzamā, nediskriminējošā un konkurenci nodrošinošā procedūrā saskaņā ar normatīvajiem aktiem publisko iepirkumu jomā</w:t>
      </w:r>
      <w:r w:rsidR="00000000" w:rsidRPr="00000000" w:rsidDel="00000000">
        <w:rPr>
          <w:rtl w:val="0"/>
        </w:rPr>
        <w:t xml:space="preserve">, izvērtējot iespējas iepirkumiem piemērot sociāli atbildīgu publisko iepirkumu. Projekta ietvaros ir atbalstāma vides prasību un inovatīvu pakalpojumu integrēšana preču un pakalpojuma iepirkumos (zaļais publiskais iepirkums un inovāciju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 atbalstāmo darbību ietvaros ir attiecināms pievienotās vērtības nodoklis tiešajām attiecināmajām izmaksām atbilstoši Regulas 2021/1060 64. panta 1. punkta “c” apakšpunktā ietvertajiem nosacījumiem,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īstenošanu plāno saskaņā ar vienošanos par projekta īstenošanu, kas noslēgta starp finansējuma saņēmēju un sadarbības iestādi, bet ne ilgāk kā </w:t>
      </w:r>
      <w:r w:rsidR="00000000" w:rsidRPr="00000000" w:rsidDel="00000000">
        <w:rPr>
          <w:b w:val="1"/>
          <w:rtl w:val="0"/>
        </w:rPr>
        <w:t xml:space="preserve">līdz 2029. gada 30. novembrim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savā tīmekļvietnē aktualizē informāciju par projekta īstenošanas gaitu, tiklīdz tā pieejama, bet ne retāk kā reizi sešos mēnešos.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nosaka arī avansa piešķiršanas nosacījumus</w:t>
      </w:r>
      <w:r w:rsidR="00000000" w:rsidRPr="00000000" w:rsidDel="00000000">
        <w:rPr>
          <w:rtl w:val="0"/>
        </w:rPr>
        <w:t xml:space="preserve">. Ja 1.1.1.6. pasākuma projekta īstenošanas laikā finansējuma saņēmējs paredz saņemt avansu, to var izmaksāt pa daļām. Pēc tam, kad noslēgta vienošanās par projekta īstenošanu, sadarbības iestāde, pamatojoties uz finansējuma saņēmēja rakstisku avansa pieprasījumu, nodrošinās finansējuma saņēmējam avansa maksājumu atbilstoši normatīvajiem aktiem par valsts budžeta līdzekļu plānošanu ES fondu projektu īstenošanai un maksājumu veikšanai 2021.-2027. gada plānošanas periodā. Viens avansa maksājums nepārsniedz 30 procentus no projektam piešķirtā  finansējuma un valsts budžeta līdzfinansējuma kopsummas. Tā kā finansējuma saņēmējs ir biedrība, avansa un starpposma maksājumu kopsumma var būt 95 procenti no projektam piešķirtā  un valsts budžeta līdzfinansējuma kopsummas.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pasākumā </w:t>
      </w:r>
      <w:r w:rsidR="00000000" w:rsidRPr="00000000" w:rsidDel="00000000">
        <w:rPr>
          <w:b w:val="1"/>
          <w:rtl w:val="0"/>
        </w:rPr>
        <w:t xml:space="preserve">finansējuma saņēmējs un sadarbības partneris nodrošina interešu konflikta neesamību</w:t>
      </w:r>
      <w:r w:rsidR="00000000" w:rsidRPr="00000000" w:rsidDel="00000000">
        <w:rPr>
          <w:rtl w:val="0"/>
        </w:rPr>
        <w:t xml:space="preserve"> saskaņā ar Eiropas Parlamenta un Padomes 2024. gada 23. septembra Regulas (ES, Euratom) Nr. 2024/2509 par finanšu noteikumiem, ko piemēro Savienības vispārējam budžetam (pārstrādāta redakcija) 61. panta prasībām un normatīvajiem aktiem publisko iepirkumu jomā, kā arī paraksta interešu konflikta neesamības apliecinājumu. Lai nodrošinātu šīs prasības izpildi, finansējuma saņēmējs izstrādās vai noteiks kārtību, kā tas pārliecināsies par interešu konflikta, krāpšanas un korupcijas risku neesamību, tostarp identificēs apstākļus, kuri izraisa vai var izraisīt interešu konfliktu un krāpšanas un korupcijas riskus, kas rada apdraudējumu vai kaitējumu projekta īstenošanā, noteiks veicamos pasākumus un izstrādās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1.1.1.6. pasākumā tiks nodrošināta sinerģija un papildinātība, kā arī nepārklāšanās ar 2.1.3.1.i. investīcijas projekta "Atbalsts atvērtās zinātnes ieviešanai praksē, kā arī izveidoti risinājumi zinātnes datu koplietošanai un dalībai ES atvērtajā zinātnes mākonī".</w:t>
      </w:r>
      <w:r w:rsidR="00000000" w:rsidRPr="00000000" w:rsidDel="00000000">
        <w:rPr>
          <w:rtl w:val="0"/>
        </w:rPr>
        <w:t xml:space="preserve"> 1.1.1.6. pasākuma ietvaros plānota 2.1.3.1.i. investīcijas projekta turpinājums un rezultātu izmantošana. 2.1.3.1.i. investīcijas projekta ietvaros plānots attīstīt cilvēkkapitālu un pilnveidot pētniecības datu pārvaldību, integrējot, attīstot un nodrošinot augstas kvalitātes zinātnisko un pētniecisko datu sagatavošanu, apstrādi, anotēšanu un koplietošanu, kā arī tam nepieciešamos IKT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1.1.1.6. pasākumā tiks nodrošināta sinerģija un papildinātība, kā arī nepārklāšanās ar topošo Latvijas Nacionālo mākslīgā intelekta centru</w:t>
      </w:r>
      <w:r w:rsidR="00000000" w:rsidRPr="00000000" w:rsidDel="00000000">
        <w:rPr>
          <w:rtl w:val="0"/>
        </w:rPr>
        <w:t xml:space="preserve">.  EOSC nacionālais mezgls nodrošinās drošu vidi pētniecības datu uzglabāšanai un atkalizmantošani (t.sk. mašīnlasāmiem datiem), savienojamību ar drošu datu pārraides un apstrādes infrastruktūru nacionālā un starptautiskā mērogā, kā arī kontrolētu un drošu lietotāju piekļuves pārvaldību. EOSC nacionālais mezgls spēs nodrošināt savienojumu arī ar citām kopējām Eiropas datu telpām.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1.1.1.6. pasākumā tiks nodrošināta sinerģija un papildinātība ar Kiberdrošības likuma (NIS2) mērķu sasniegšanu</w:t>
      </w:r>
      <w:r w:rsidR="00000000" w:rsidRPr="00000000" w:rsidDel="00000000">
        <w:rPr>
          <w:rtl w:val="0"/>
        </w:rPr>
        <w:t xml:space="preserve">. Pasākuma investīcijas paredz EOSC nacionālā mezgla savienojamības nodrošināšanu ar citiem EOSC tīkla mezgliem, tai skaitā tīkla kiberdrošības atbilstības un kiberdrošības tehnisko pakalpojumu nodrošināšanu un drošas pētniecības vides izstrādi. Kiberdrošības risinājumu izstrādes procesā un EOSC nacionālā mezgla informācijas sistēmu drošības līmeņa noteikšanai konsultēties un sadarboties ar Nacionālo kiberdrošības centru, tai skaitā ievērot Valsts informācijas sistēmu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1.1.1.6. pasākumam nav ietekmes uz horizontālo principu “Vienlīdzība, iekļaušana, nediskriminācija un pamattiesību ievēattiecinrošana” </w:t>
      </w:r>
      <w:r w:rsidR="00000000" w:rsidRPr="00000000" w:rsidDel="00000000">
        <w:rPr>
          <w:rtl w:val="0"/>
        </w:rPr>
        <w:t xml:space="preserve">(HP VINPI), jo pasākuma projekts būs izteikti tehnisks un vērsts uz infrastruktūras, kas nav publiski pieejama, attīstību. Vienlaikus 1.1.1.6. pasākuma projekta īstenošanā ir jāievēro nediskriminācijas principi un jāīsteno vispārīgās HP darbības, projekta iesniegumā paredzot vismaz 1 vispārīgu HP VINPI darbību veikšanu, kas attiecas uz publicitāti vai personālu. Arī uz horizontālajiem principiem “Klimatdrošināšana”, “Energoefektivitāte pirmajā vietā” un “Nenodarīt būtisku kaitējumu” 1.1.1.6. pasākumam nav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1.1.1.6. pasākuma ERAF investīcijām piemērots 4. intervences kods (4 621 875 EUR), 8 intervences kods (4 621 875 EUR), 12. intervences kods (2 310 938 EUR), 28. intervences kods (4 621 875 EUR) un 11. intervences kods (2 310 938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https://creativecommons.org/public-domain/cc0/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https://open-science-cloud.ec.europa.eu/news/european-commission-announces-eosc-eu-nodes-transition-full-production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https://resources.geant.org/wp-content/uploads/2023/09/Position-paper-GEANT-and-the-NRENs-have-a-long-history-in-scalable-federated-environments-that-can-support-the-creation-of-EOSC-Nodes_.pdf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https://eosc.eu/news/2023/11/european-commission-announces-results-of-the-eosc-procurement/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https://digital-strategy.ec.europa.eu/en/policies/data-spaces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https://commission.europa.eu/strategy-and-policy/priorities-2019-2024/europe-fit-digital-age/europes-digital-decade-digital-targets-2030_en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https://commission.europa.eu/strategy-and-policy/priorities-2019-2024/europe-fit-digital-age/european-data-strategy_en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https://eur-lex.europa.eu/eli/reg/2023/2854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Eiropas Atvērtās zinātnes mākoņa (EOSC) ieviešanas ceļakarte https://ec.europa.eu/transparency/documents-register/detail?ref=SWD(2018)83&amp;lang=en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EOSC pilotprojekta rekomendācijas politikas veidotājiem https://eoscpilot.eu/content/d36-final-policy-recommendations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https://likumi.lv/ta/id/324715-par-digitalas-transformacijas-pamatnostadnem-20212027-gadam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https://likumi.lv/ta/id/322468-par-zinatnes-tehnologijas-attistibas-un-inovacijas-pamatnostadnem-20212027-gadam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https://likumi.lv/ta/id/353390-nacionalas-kiberdrosibas-likums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https://likumi.lv/ta/id/62324-valsts-informacijas-sistemu-likums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https://eur-lex.europa.eu/legal-content/LV/TXT/?uri=CELEX%3A32016R0679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Metodika pētniecības un zināšanu izplatīšanas organizāciju statusa izvērtējumam | Izglītības un zinātnes ministrija. Pieejama: https://www.izm.gov.lv/lv/metodika-petniecibas-un-zinasanu-izplatisanas-organizaciju-statusa-izvertejumam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Latvijas dalībnieki EOSC Asociācijā un pilnvarotā organizācija https://eosc.eu/tripartite-collaboration/latvia/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Eiropas atvērtās zinātnes mākoņa asociācija (EOSC Association) https://www.eosc.eu/association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EOSC Asociācijas statūti https://eosc.eu/wp-content/uploads/2023/08/20220524_EOSC-A_Revised-Articles-of-Association_PDF.pdf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EOSC Asociācija publicējusi minimālās prasības EOSC federācijas kandidātmezgliem. Pieejams:  https://eosc.eu/wp-content/uploads/2024/05/EOSC-A_GA8_20240527-28_Paper-G_Update_EOSC_Nodes_requirements-DRAFT-v240524.pdf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EOSC federācijas rokasgrāmatas izstrādi vada EOSC Asociācija balstoties uz trīspusējo sadarbību un konsultācijām. Pieejams:  https://eosc.eu/eosc-federation-handbook/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Atbilstoši Vispārējās regulas Nr. 2021/1060 54.panta b) apakšpunktam nav jāveic aprēķins piemērojamās likmes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[23]GEANT vadlīnijas: “FORESIGHT 2030 Navigating Change - https://resources.geant.org/wp-content/uploads/2024/11/Foresight-Study-v02-ONLINE.pdf  un “Compendium 2023 of National Research and Education Networks (NRENs) in Europe” https://resources.geant.org/wp-content/uploads/2024/11/compendium2023_IIIb37.pdf;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EOSC federācijas noteikumi EOSC Federation Handbook - EOSC Association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[25]Vienotā valsts interneta plūsmu apmaiņas punkta (GLV IX) prasības  https://glv-ix.lv/public-content/policy</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(iedzīvotājs, skolēns, students, zinātniskais personāls, politikas veidotājs, uzņēmējs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Atvērtās zinātnes kustības un pieejas zinātniskās darbības procesam (t.sk. caur EOSC nacionālo mezglu) pamatā ir pētniecībā iegūtu zināšanu, pētniecības metožu, datu un rezultātu publiska pieejamība, tādējādi veicinot uz sadarbību vērstu zinātnisko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tiešs atbalsts ir paredzēts digitālās pētniecības infrastruktūras un datu lietotājiem – ar pētniecību saistītajam (zinātniskajam un pedagoģiskajam) personālam, kā arī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EOSC nacionālā mezgla izveidei nodrošinās Latvijas zinātnes ekosistēmas dalībniekiem mūsdienīgu piekļuvi un dalīšanos ar kvalitatīvi pārvaldītiem pētniecības datiem, piekļuvi datu apstrādes rīkiem un digitāliem pētniecības pakalpojumiem, kā arī nodrošinās Latvijas iekļaušanos Eiropas Pētniecības telpā un mākslīgā intelekta potenciāla izmantošanu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netiešs atbalsts paredzēts pārējiem pētniecības telpas dalībniekiem, kuri var gūt labumu no atvērtās zinātnes praktiskas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zinātnes kvalitāte un integritāte, nodrošinās plašāku, t.sk. starptautisku, pētījumu izvērtēšanu un rezultātu validēšanu, paātrinot atklājumus un sekmējot akadēmisko godīgumu, kā arī pielāgojot pētniecības tēmas sabiedrībai aktuālu un globālu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Atvērtās zinātnes uzlabota pārvaldība, izveidojot EOSC nacionālo mezglu, paaugstinās sabiedrības iesaistes iespējas pētniecības procesos, t.sk. pētniecības datu radīšanā un izmantošanā, uzlabojot sabiedrības izpratni un interesi par zinātni, kā arī paaugstinās zinātnes vērtību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“Augstākās izglītības un zinātnes informācijas tehnoloģiju koplietošanas pakalpojumu centrs” kā projekta iesniedzējs un finansējuma saņēmējs, zinātnes universitātes (LU, RTU, RSU, LBTU) kā sadarbības partneri, Latvijas augstskolas un pētniecības organizācijas kā tiešā projekta mērķa grupa. Netieši arī citas juridiskās personas, kas ir ieinteresētas zinātnes rezultātu izmantošanā.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1.1.1.6. pasākuma "Zinātniskās darbības digitalizācija un  dalība Eiropas Atvērtajā zinātnes mākonī" ietvaros nodrošinās brīvu pieeju zinātniskajai informācijai,  uzlabos pētniecības pārvaldības organizēšanu institūciju un nacionālās pētniecības ekosistēmas līmenī. Investīcijas veicinās Latvijas augstākās izglītības un zinātnisko institūciju attīstību un starptautisko konkurētspēju, integrējot, attīstot un nodrošinot augstas kvalitātes informāciju tehnoloģiju koplietošanas pakalpojumus pētniecības telpas attīstībai un atvērtās zinātnes praktiskai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Globāli radīto pētniecības datu apjoms pieaug eksponenciāli, vienlaikus palielinot to potenciālu atkārtotai izmantošanai. Uzlabojot pētniecības datu atkārtotu izmantojamību, tiek veicināts pētniecības izmaksu samazinājums un produktivitātes pieaugums, samazinātas datu vākšanas, apstrādes, licencēšanas un glabāšanas izmaksas, tiek veicināts kvalitatīvāks pētniecības process, tiek samazināti dubultfinansējuma riski, tiek veicināta starpdisciplinaritāte un sekmēta pētniecības datu izmantošana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iniciatīvas ieviešana ir būtiska ES un Latvijas konkurētspējai globālā līmenī, tā pat EOSC iniciatīva atbalsta Eiropas digitālo un datu suverenitāti, drošību, produktivitāti un Eiropas pozicionēšanu kā mākslīgā intelekta līderi.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Brīva piekļuve jaunākajiem pētījumiem, arvien precīzākiem datiem un efektīvām un mūsdienīgām tehnoloģijām ļaus ātrāk ieviest jauninājumus, uzlabot inovāciju spēju, uzlabot procesus un saglabāt konkurētspēju visos tautsaimniecības sektoros.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pētniecības publikāciju un datu  uzlabota pieejamība visu nozaru vajadzībām. Zināšanu pārneses un pētniecības rezultātu komercializācijas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mezgli apvieno e-infrastruktūru un pētniecības digitālo pakalpojumu uzturētājus, zinātniskās institūcijas un citus nozares spēlētājus, lai veicinātu FAIR principu ieviešanu un mūsdienīgu pakalpojumu izstrādi un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darbību, nodrošinot atbalstu pētniecības infrastruktūras pilnveidei un zinātnisko institūciju institucionālās kapacitātes stiprināšanai, tādējādi sekmējot Latvijas zinātnes izcilības un starptautiskās konkurētspējas un Latvijas tautsaimniecības transformācijai nepieciešamās zināšanu bāzes un cilvēkkapitāla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Paaugstinās nozaru konkurētspēju, jo piekļuve pētniecības procesā iegūtajiem datiem atklātā, nediskriminējošā un konkurenci nodrošinošā veidā risinās uzņēmējdarbības atklājuma principa darbību, veicinot jauno produktu un pakalpojumu izstrādi konkurences apstākļos.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Atbalstīs uzlabojumus, jo piekļuve pētniecības datiem un uzticamo datu avotu identifikācija EOSC ietvarā ir būtisks uzņēmējdarbības vides atļaujošais faktors inovācijās balstītas ekonomikas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Atbalstīs atklātā, nediskriminējošā un konkurenci nodrošinošā veidā, nodrošinot informācijas un uzticamu datu resursus uzņēmējdarbības procesa attīstībai, tādējādi samazinot MVU izmaksas datu ieguvei. MVU gūs iespēju sadarbībai kiberdrošības risinājumu izstrādei sektorā.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pētniecību un zinātniskās izpētes attīstību, valsts iestādes un organizācijas var veicināt inovāciju, kas paver jaunas iespējas uzņēmējdarbībai un ekonomikas izaugsmei, darbinot uzņēmējdarbības atklājuma principu. Saskaņā ar ES prioritātēm uzņēmumi, kas rada darbavietas, inovāciju un labklājību, ir sabiedrības virzītājspēks. Savukārt konkurence un produktivitāte ir būtiski nosacījumi uzņēmumu uzplaukumam un rentabilitātei. Dati ir nozīmīgs resurss produktu un pakalpojumu attīstībai, nodrošinājums ar šo resursu atklātā, nediskriminējošā veidā veicinās konkurenci uzņēmējdarbības sektorā.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analītikas speciālisti ir viena no visstraujāk augošajām profesiju grupām. Nodrošinot efektīvu piekļuvi pētniecības datiem gan Latvijā, gan Eiropā, tiek radīta bāze šādas augsti atalgotas profesijas attīstībai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4 399 163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3 776 024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4 399 163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3 776 024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527 969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5 175 486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4 442 381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527 969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5 175 486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4 442 381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-776 323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-666 357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-776 323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-666 357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776 323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666 357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1.1.1.6. pasākumam pieejamais kopējais attiecināmais finansējums ir 21 750 002 euro (tajā skaitā elastības finansējuma apjoms 5 007 778 euro), tai skaitā ERAF finansējums 18 487 501 euro (tajā skaitā elastības finansējuma apjoms 4 256 611 euro) un valsts budžeta finansējums – 3 262 501 euro (tajā skaitā elastības finansējuma apjoms 751 167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iesniegumā pasākuma īstenošanai kopējo pieejamo finansējumu plāno ne vairāk kā 16 742 224 euro apmērā, tai skaitā ERAF finansējumu – 14 230 890,40 euro apmērā un valsts budžeta finansējumu – 2 511 333,60 euro apmērā. Atbildīgā iestāde pēc Eiropas Komisijas lēmuma par vidusposma pārskatu var ierosināt palielināt pasākumam pieejamo kopējo attiecināmo finansējumu līdz augstāk minētajam 1.1.1.6. pasākumam pieejamajam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attiecināmām izmaksām. Budžeta izdevumi ir kopējie projekta ieviešanai nepieciešamie publiskā finansējuma (ERAF un valsts budžeta)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indikatīvi ieviest no 2025. gada II ceturkšņa līdz 2029. gada IV ceturksnim (projekta īstenošanas laiks indikatīvi 4,5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gadā tiek plānots finansējums 527 969.09 euro gadā (t.sk. ERAF 448 773.73 euro, valsts budžets 79 195.36 euro) jeb aptuveni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- 2026.gadā tiek plānots finansējums  5 175 486.24 euro gadā (t.sk. ERAF 4 399 163.3 euro, valsts budžets 776 322.94 euro) jeb aptuveni 31 %;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- 2027.gadā tiek plānots finansējums 4 442 381.24 euro gadā (t.sk. ERAF 3 776 024.05 euro, valsts budžets 666 357.19 euro) jeb aptuveni 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- 2028.gadā tiek plānots finansējums 3 456 192.74 euro gadā (t.sk. ERAF 2 937 763.83 euro, valsts budžets 518 428.91 euro) jeb aptuveni 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- 2029.gadā tiek plānots finansējums 3 140 194.82 euro gadā (t.sk. ERAF 2 669 165.6 euro, valsts budžets 471 029.22 euro) jeb aptuveni 19 %.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un zinātnes informācijas tehnoloģijas koplietošanas pakalpojumu centrs", Latvijas Universitātes Matemātikas un informātikas institūts, Rīgas Tehniskā universitāte, Rīgas Stradiņa universitāte, Latvijas Universitāte, Latvijas Biozinātņu un tehnoloģiju universitāte, citas augstskolas un zinātniskie institūti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un zinātnes informācijas tehnoloģijas koplietošanas pakalpojumu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ietvaros plānotā projekta īstenošanas rezultātā tiks attīstīta nacionālā pētniecības digitālā infrastruktūra, tai skaitā tās pieejamība, drošība un pētniecības sistēmu starptautiskā  standartizācija.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iniciatīva nodrošinās pētniecības sistēmu fragmentācijas mazināšanu nacionālā līmenī, kā arī samazinās dubultfinansējuma risku.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mezgla funkcionēšanu (tehnisko un operacionālo darbību) nodrošinās finansējuma saņēmējs. EOSC platforma lietotājiem ir pieejama nepārtraukti, kā arī finansējuma saņēmējs ir atbildīgs par platformas nepārtrauktu attīstību un sadarbspēju ar citām saistītām valsts un pašvaldības IKT sistēmām.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 zinātne veicina pierādījumos balstītu politiku, jo nodrošina pieeju FAIR (atrodamiem, piekļūstamiem, sadarbspējīgiem un atkārtoti lietojamiem) pētniecības datiem, kas nepieciešami pierādījumos balstītas politikas 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pasākuma Nr. 143 darbības rādītāja un rezultatīvā rādītāja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pilnvērtīgs dalībnieks EOSC īstenotajās aktivitātēs.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 ietvaros tiks īstenota vismaz viena horizontālā principa “Vienlīdzība, iekļaušana, nediskriminācija un pamattiesību ievērošana” vispārīgā darbība, kas veicina personu ar invaliditāti vienlīdzīgas iespējas un tiesības,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 un īstenošana notiks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cita saskaņā ar “Horizontālais princips  “Vienlīdzība, iekļaušana, nediskriminācija un pamattiesību ievērošana”. Vadlīnijas īstenošanai un uzraudzībai (2021-2027)”.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pasākuma projekta ietvaros tiks īstenota vismaz viena horizontālā principa “Vienlīdzība, iekļaušana, nediskriminācija un pamattiesību ievērošana” vispārīgā darbība, kas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veicinās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cita saskaņā ar “Horizontālais princips  “Vienlīdzība, iekļaušana, nediskriminācija un pamattiesību ievērošana”. Vadlīnijas īstenošanai un uzraudzībai (2021-2027)”.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EOSC mezgla koncepts piedāvās pētniekiem drošu digitālo platformu atbilstoši starptautiskiem standartiem un protokoliem ar mērķi nodrošināt pieejamu un drošu resursu lietošanu un pārvaldību. 1.1.1.6 pasākuma ietvaros kā atbalstāmās darbības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EOSC nacionālā mezgla un tīkla kiberdrošības atbilstības un kiberdrošības tehnisko pakalpojumu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EOSC nacionālā mezgla un tīkla pārvaldības un drošības pakalpojumu izstrāde, ieviešana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realizācijā jāievēro Vispārējās personas datu aizsardzības regulas un Veselības informācijas aizsardzības normatīvo regulējumu prasības. Jānodrošina pētniecības datu aizsardzība un kiberdrošības pasākumi akadēmiskajās un pētniecības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24-TA-3298</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24-TA-3298</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anotācija_(ex_ante)_24-TA-3298.docx</dc:title>
</cp:coreProperties>
</file>

<file path=docProps/custom.xml><?xml version="1.0" encoding="utf-8"?>
<Properties xmlns="http://schemas.openxmlformats.org/officeDocument/2006/custom-properties" xmlns:vt="http://schemas.openxmlformats.org/officeDocument/2006/docPropsVTypes"/>
</file>