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 (turpmāk – TA projekts)  ir Labklājības ministrijas (turpmāk – LM) iniciatīva un izstrādāts saskaņā ar Eiropas Savienības fondu 2021. – 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normatīvo regulējumu Eiropas Savienības (turpmāk – ES)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pasākumam “EURES tīkla darbības nodrošināšana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Nodarbinātības dienestu tīkls (turpmāk – EURES) izveidots 1994. gadā ar mērķi atbalstīt vienu no ES dibināšanas pamatprincipiem  – Eiropas valstu darbaspēka brīvu pārvietošanos[1]. Latvija par EURES tīkla dalībvalsti kļuva 2004. gada 1. maijā, pēc valsts pievienošanās ES. EURES pakalpojumus Latvijā nodrošina Nodarbinātības valsts aģentūra (turpmāk – NVA), sadarbojoties ar vietējiem partneriem (privātajiem darbiekārtošanās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EURES tīkla ietvaros ikvienam interesentam  tiek sniegtas bezmaksas konsultācijas un informācija par nodarbinātības iespējām, dzīves un darba apstākļiem Eiropas un EURES sadarbības valstīs, savukārt darba devējiem tiek sniegts informatīvs atbalsts darbinieku piesaistē – tādējādi, tajā skaitā tiek veicināta iedzīvotāju iesaiste legālā nodarbinātībā un izplatīta informācija par darbu drošos darba apstākļos. Atbilstoši 2017.  gada Eiropas Komisijas pētījumam par nedeklarētas nodarbinātības izplatību ES [2], Eiropā vidēji 9,3% no privātajā sektorā strādājošajiem  nodarbināti nedeklarēti, sniedzot ieguldījumu ēnu ekonomikā (privātajā sektorā) 14,3% apmērā. Visaugstākais nedeklarētās nodarbinātības līmenis privātajā sektorā ir Polijā – 20,8%, Lietuvā – 19,8%, Rumānijā – 18,9% un Latvijā – 18,3%.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EURES informācijas tīkla un Eiropas darba mobilitātes portāla (ec.europa.eu/eures) palīdzību iespējams iegūt informāciju par brīvajām darba vietām, dzīves un darba apstākļiem Latvijā un citās Eiropas valstīs. Darba devējiem ir iespēja EURES datubāzē ievietot informāciju par vakantajām darba vietām. Tāpat  EURES datu bāzē ir iespēja iegūt informāciju darbinieku meklēšanai gan Latvijā, gan citās Eiropas valstīs, tai skaitā  iegūt informāciju par potenciālo darbinieku dzīves un darba gājumu (CV), kas palīdz atlasīt savam uzņēmumam un darbības jomai piemērotāko darbinieku neatkarīgi no viņa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var saņemt arī NVA, kur atbalstu sniedz EURES konsultanti. Lai nodrošinātu to, ka EURES tīkla pakalpojumi ir pieejami visiem Latvijas teritorijas iedzīvotājiem, EURES konsultanti sadarbojas ar citu valsts institūciju, pašvaldību, novadu un pagastu speciālistiem, kā arī darba devējiem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nodrošina EURES pakalpojumu pieejamību saskaņā ar EURES tiesisko pamatu – Līguma par Eiropas Savienības darbību[3] 45. pantu (turpmāk – LESD), Eiropas Parlamenta un Padomes 2016. gada 13. aprīļa regulu (ES) 2016/589 par Eiropas Nodarbinātības dienestu tīklu (EURES), darba ņēmēju piekļuvi mobilitātes pakalpojumiem un turpmāku darba tirgu integrāciju un ar ko groza regulas (ES) Nr. 492/2011 un (ES) Nr. 1296/2013[4] (turpmāk – Regula Nr. 2016/589). No 2015. gada EURES pakalpojumi tiek nodrošināti Darbības programmas “Izaugsme un nodarbinātība” 7.1.2.specifiskā atbalsta mērķa “Izveidot darba tirgus apsteidzošo pārkārtojumu sistēmu, nodrošinot tās sasaisti ar Nodarbinātības barometru” 7.1.2.1.pasākuma “EURES tīkla darbības nodrošināšana” ietvaros[5] (turpmāk – 7.1.2.1.pasākums). Minētā pasākuma ietvaros tiek īstenoti semināri, diskusijas, tikšanās, tematiskās lekcijas, informatīvās dienas, konsultācijas, darba un karjeras izstādes, vakanču gadatirgi, sniedzot informāciju par pieejamajām brīvajām darba vietām Latvijā un Eiropā, dzīves un darba apstākļiem, administratīvajām procedūrām, par vakanču reģistrācijas procesu, darbinieku nosūtīšanu, darbaspēka pieprasījumu un piedāvājumu, iespējām kopīgi sadarboties un identificēt aktuālās vajadzības gan nacionālā, gan starptautiskā līmenī. Tāpat tiek sniegts atbalsts arī EURES tīkla sanāksmju un konferenču rīkošanai starptautiskajiem partneriem un NVA darbiniekiem par EURES komunikācijas stratēģiju un vienotiem pakalpojuma standartiem, kā arī nodrošināta EURES konsultantu dalība darba grupās, pieredzes apmaiņas semināros, nodrošināta mācību un informatīvu semināru organizēšana NVA darbiniekiem, kā arī dažādu informatīvo materiālu (bukleti, faktu lapas, u.c.) izstrāde un izgatavošana. Par EURES pakalpojumu pieprasījumu liecina, piemēram, tas, ka 2022. gadā EURES speciālisti sniedza 5 212 konsultācijas par Eiropas darba mobilitātes jautājumiem. Lielākais sniegto konsultāciju skaits bija Latvijas un ārvalstu darba meklētājiem – 4 010 konsultācijas un darba devējiem – 600 konsultācijas. Konsultācijas ir tikai daļa no sniegtā atbalsta. Organizēti arī EURES informatīvie pasākumi. Piemēram, 2022. gadā īstenoti 111 dažādi informatīvi pasākumi darba meklētājiem, darba devējiem, sadarbības partneriem un NVA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 pasākuma ietvaros kopumā realizēti 894 dažādi EURES  pasākumi un līdz projekta noslēgumam – 2023. gada 31. decembrim ir plānots realizēt vēl indikatīvi 50 pasākumus (projektā noteikts uzraudzības rādītājs – īstenoti 800 informatīvi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partnerības EURES tīklā ieguvēji ir  gan darba meklētāji, gan darba devēji, gan citas institūcijas (pašvaldības, nevalstiskās organizācijas, valsts pārvaldes institūcijas u.c.), kuras ikdienā strādā ar nodarbinātības jautājumiem. EURES tīkla darbībai ir nozīmīga loma ārpus Latvijas dzīvojošo valstspiederīgo informēšanai par remigrācijas un darba iespējām Latvijā. EURES sadarbībā ar Latvijas vēstniecībām ārvalstīs un sadarbības partneriem organizē tikšanās, seminārus un vebinārus par remigrācijas tematiku un diasporas aktuāliem jautājumiem. 7.1.2.1. pasākuma ietvaros tika sagatavoti publicitātes materiāli un tika veidoti remigrācijas raidījumu cikli. NVA EURES tīkla ietvaros kopš 2019. gada Eiropas darba dienu platformā organizē starptautisku tiešsaistes darba gadatirgu “Darbs un karjera Latvijā”, kura viena no mērķauditorijām ir Latvijas diaspora. Pasākums dod iespēju iepazīt Latvijas darba tirgus piedāvātās iespējas un uzzināt par darba un dzīves nosacījumiem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EURES ietvaros īstenotie pasākumi palīdz iegūt informāciju pārdomātāka lēmuma par nākotnes darba vietu pieņemšanai. Pārdomāta darba piedāvājuma pieņemšana mazina risku, ka cilvēks tiks nodarbināts negodprātīgos un kaitīgos darba apstākļos un sniedz iespēju uzlabot savas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https://www.nva.gov.lv/lv/eures-darba-mobilitate-eiropa-0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https://www.ela.europa.eu/sites/default/files/2021-09/KE-06-17-268-EN-N.pdf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https://eur-lex.europa.eu/legal-content/LV/TXT/HTML/?uri=CELEX:12012E/TXT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https://eur-lex.europa.eu/legal-content/LV/TXT/HTML/?uri=CELEX:32016R0589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https://likumi.lv/ta/id/273002-darbibas-programmas-izaugsme-un-nodarbinatiba-7-1-2-specifiska-atbalsta-merka-izveidot-darba-tirgus-apsteidzoso-parkartojumu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LESD 45. pantam, ES jānodrošina darba ņēmēju pārvietošanās brīvība, tāpēc, lai sniegtu atbalstu potenciālajiem darba ņēmējiem un informētu viņus par iespējām strādāt ārvalstīs, kā arī piesaistītu ārvalstu darbaspēku,  atbilstoši Regulas Nr. 2016/589 nosacījumiem, katrā ES dalībvalstī ir izveidots EURES tīkla atbalsta punkts, kura darbības nodrošināšanai ir nepieciešams finansējums. 2023. gadā noslēdzas 7.1.2.1. pasākuma projekts, kura ietvaros nodrošināta EURES tīkla darbība Latvijā. Starptautisko saistību izpildei, noslēdzoties 7.1.2.1. pasākuma īstenošanai, ir jāturpina nodrošināt EURES tīkla darbība Latvijā, rodot tam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EURES tīkla darbības nodrošināšanai, nodrošinot 7.1.2.1. pasākuma ietvaros īstenoto atbalstāmo darbību turpināšanu un attīstību arī pēc 7.1.2.1. pasākuma noslēguma, tiks piesaistīts Eiropas Sociālā fonda Plus finansējums. Attiecīgi TA projekts nosaka kārtību, kādā īsteno 4.3.3.4. pasākumu, nosaka tā mērķi, pasākumam plānoto un pieejamo finansējumu, nacionālā līdzfinansējuma likmi, prasības Eiropas Sociālā fonda Plus projekta (turpmāk – projekts) iesniedzējam un finansējuma saņēmējam, atbalstāmās darbības un sasniedzamos rādītājus, izmaksu attiecināmības nosacījumus un vienkāršoto izmaksu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4.3.3.4. pasākumu paredzēts īstenot ierobežotas projektu iesniegumu atlases veidā</w:t>
      </w:r>
      <w:r w:rsidR="00000000" w:rsidRPr="00000000" w:rsidDel="00000000">
        <w:rPr>
          <w:rtl w:val="0"/>
        </w:rPr>
        <w:t xml:space="preserve">, kā finansējuma saņēmēju nosakot NVA, kura saskaņā ar Bezdarbnieku un darba meklētāju atbalsta likumu, īsteno valsts politiku bezdarba samazināšanas un bezdarbnieku, darba meklētāju un bezdarba riskam pakļauto personu atbalsta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pasākumam plānotais un pieejamais finansējums ir </w:t>
      </w:r>
      <w:r w:rsidR="00000000" w:rsidRPr="00000000" w:rsidDel="00000000">
        <w:rPr>
          <w:b w:val="1"/>
          <w:rtl w:val="0"/>
        </w:rPr>
        <w:t xml:space="preserve">1 485 000 </w:t>
      </w:r>
      <w:r w:rsidR="00000000" w:rsidRPr="00000000" w:rsidDel="00000000">
        <w:rPr>
          <w:b w:val="1"/>
          <w:i w:val="1"/>
          <w:rtl w:val="0"/>
        </w:rPr>
        <w:t xml:space="preserve">euro</w:t>
      </w:r>
      <w:r w:rsidR="00000000" w:rsidRPr="00000000" w:rsidDel="00000000">
        <w:rPr>
          <w:rtl w:val="0"/>
        </w:rPr>
        <w:t xml:space="preserve">, tai skaitā Eiropas Sociālā fonda Plus finansējums – 1 262 250 </w:t>
      </w:r>
      <w:r w:rsidR="00000000" w:rsidRPr="00000000" w:rsidDel="00000000">
        <w:rPr>
          <w:i w:val="1"/>
          <w:rtl w:val="0"/>
        </w:rPr>
        <w:t xml:space="preserve">euro</w:t>
      </w:r>
      <w:r w:rsidR="00000000" w:rsidRPr="00000000" w:rsidDel="00000000">
        <w:rPr>
          <w:rtl w:val="0"/>
        </w:rPr>
        <w:t xml:space="preserve"> un valsts budžeta līdzfinansējums – 222 750 </w:t>
      </w:r>
      <w:r w:rsidR="00000000" w:rsidRPr="00000000" w:rsidDel="00000000">
        <w:rPr>
          <w:i w:val="1"/>
          <w:rtl w:val="0"/>
        </w:rPr>
        <w:t xml:space="preserve">euro</w:t>
      </w:r>
      <w:r w:rsidR="00000000" w:rsidRPr="00000000" w:rsidDel="00000000">
        <w:rPr>
          <w:rtl w:val="0"/>
        </w:rPr>
        <w:t xml:space="preserve">. Atbalsta veids ir grants.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4.3.3.4. pasākumā </w:t>
      </w:r>
      <w:r w:rsidR="00000000" w:rsidRPr="00000000" w:rsidDel="00000000">
        <w:rPr>
          <w:b w:val="1"/>
          <w:rtl w:val="0"/>
        </w:rPr>
        <w:t xml:space="preserve">elastības finansējums nav plānots.</w:t>
      </w:r>
      <w:r w:rsidR="00000000" w:rsidRPr="00000000" w:rsidDel="00000000">
        <w:rPr>
          <w:rtl w:val="0"/>
        </w:rPr>
        <w:t xml:space="preserve"> Uz 4.3.3.4. pasākumu attiecināmā elastības finansējuma daļa (234 296 </w:t>
      </w:r>
      <w:r w:rsidR="00000000" w:rsidRPr="00000000" w:rsidDel="00000000">
        <w:rPr>
          <w:i w:val="1"/>
          <w:rtl w:val="0"/>
        </w:rPr>
        <w:t xml:space="preserve">euro</w:t>
      </w:r>
      <w:r w:rsidR="00000000" w:rsidRPr="00000000" w:rsidDel="00000000">
        <w:rPr>
          <w:rtl w:val="0"/>
        </w:rPr>
        <w:t xml:space="preserve">, t.sk. ESF Plus finansējums 199 152  </w:t>
      </w:r>
      <w:r w:rsidR="00000000" w:rsidRPr="00000000" w:rsidDel="00000000">
        <w:rPr>
          <w:i w:val="1"/>
          <w:rtl w:val="0"/>
        </w:rPr>
        <w:t xml:space="preserve">euro</w:t>
      </w:r>
      <w:r w:rsidR="00000000" w:rsidRPr="00000000" w:rsidDel="00000000">
        <w:rPr>
          <w:rtl w:val="0"/>
        </w:rPr>
        <w:t xml:space="preserve">) tiks kompensēta, nosakot elastības finansējumu programmas 4.3.3. 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ietvaros 33 850 000 </w:t>
      </w:r>
      <w:r w:rsidR="00000000" w:rsidRPr="00000000" w:rsidDel="00000000">
        <w:rPr>
          <w:i w:val="1"/>
          <w:rtl w:val="0"/>
        </w:rPr>
        <w:t xml:space="preserve">euro</w:t>
      </w:r>
      <w:r w:rsidR="00000000" w:rsidRPr="00000000" w:rsidDel="00000000">
        <w:rPr>
          <w:rtl w:val="0"/>
        </w:rPr>
        <w:t xml:space="preserve">, t.sk. ESF Plus finansējums 28 772 500</w:t>
      </w:r>
      <w:r w:rsidR="00000000" w:rsidRPr="00000000" w:rsidDel="00000000">
        <w:rPr>
          <w:i w:val="1"/>
          <w:rtl w:val="0"/>
        </w:rPr>
        <w:t xml:space="preserve"> euro</w:t>
      </w:r>
      <w:r w:rsidR="00000000" w:rsidRPr="00000000" w:rsidDel="00000000">
        <w:rPr>
          <w:rtl w:val="0"/>
        </w:rPr>
        <w:t xml:space="preserve">, apmērā un programmas 4.3.3.2. pasākuma “Nelabvēlīgākā situācijā esošu bezdarbnieku un ekonomiski neaktīvo iedzīvotāju iekļaušanās darba tirgū sekmēšana” ietvaros 14 000 000 </w:t>
      </w:r>
      <w:r w:rsidR="00000000" w:rsidRPr="00000000" w:rsidDel="00000000">
        <w:rPr>
          <w:i w:val="1"/>
          <w:rtl w:val="0"/>
        </w:rPr>
        <w:t xml:space="preserve">euro</w:t>
      </w:r>
      <w:r w:rsidR="00000000" w:rsidRPr="00000000" w:rsidDel="00000000">
        <w:rPr>
          <w:rtl w:val="0"/>
        </w:rPr>
        <w:t xml:space="preserve">, t.sk. ESF Plus finansējums 11 900 000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w:t>
      </w:r>
      <w:r w:rsidR="00000000" w:rsidRPr="00000000" w:rsidDel="00000000">
        <w:rPr>
          <w:b w:val="1"/>
          <w:rtl w:val="0"/>
        </w:rPr>
        <w:t xml:space="preserve">izmaksas ir attiecināmas, ja tās atbilst TA projektā minētajām izmaksu pozīcijām un ir radušās ne agrāk kā no 2023. gada 1. decembra.</w:t>
      </w:r>
      <w:r w:rsidR="00000000" w:rsidRPr="00000000" w:rsidDel="00000000">
        <w:rPr>
          <w:rtl w:val="0"/>
        </w:rPr>
        <w:t xml:space="preserve"> Nav attiecināmas izmaksas par jau pabeigtām atbalstāmajām darbībām.  Šī pasākuma ietvaros plānoto atbalstāmo darbību īstenošanu nodrošinās projekta personāls un  arī Publiskā iepirkumu likumā (turpmāk – PIL) noteiktā kārtībā piesaistīti pakalpojuma sniedzēji. Savlaicīgai projektā paredzēto atbalstāmo darbību īstenošanai, nodrošinot to nepārtrauktību, noslēdzoties 7.1.2.1. pasākuma īstenošanai, projekta personālu plānots piesaistīt </w:t>
      </w:r>
      <w:r w:rsidR="00000000" w:rsidRPr="00000000" w:rsidDel="00000000">
        <w:rPr>
          <w:b w:val="1"/>
          <w:rtl w:val="0"/>
        </w:rPr>
        <w:t xml:space="preserve">no 2023. gada 1. decembra. 4.3.3.4. pasākumu plānots īstenot līdz 2029. gada IV ceturksnim</w:t>
      </w:r>
      <w:r w:rsidR="00000000" w:rsidRPr="00000000" w:rsidDel="00000000">
        <w:rPr>
          <w:rtl w:val="0"/>
        </w:rPr>
        <w:t xml:space="preserve">, tas tiks īstenots aptverot visu Latvijas teritoriju.  Finanšu attiecināmība pirms projekta iesnieguma apstiprināšanas sadarbības iestādē nepieciešama, lai nodrošinātu administratīvās rīcības projekta atbalstāmo darbību savlaicīgai uzsākšanai, ievērojot to apjomu un sarežģītību. Pirms projekta iesnieguma apstiprināšanas sadarbības iestādē valsts budžeta priekšfinansējums 2024. gadā (pirmajam pusgadam) ne vairāk kā 120 150 </w:t>
      </w:r>
      <w:r w:rsidR="00000000" w:rsidRPr="00000000" w:rsidDel="00000000">
        <w:rPr>
          <w:i w:val="1"/>
          <w:rtl w:val="0"/>
        </w:rPr>
        <w:t xml:space="preserve">euro</w:t>
      </w:r>
      <w:r w:rsidR="00000000" w:rsidRPr="00000000" w:rsidDel="00000000">
        <w:rPr>
          <w:rtl w:val="0"/>
        </w:rPr>
        <w:t xml:space="preserve"> nepieciešams atbalstāmās darbības “Projekta vadība un īstenošana” ietvaros tiešo attiecināmo personāla izmaksu segšanai (indikatīvi 85 820</w:t>
      </w:r>
      <w:r w:rsidR="00000000" w:rsidRPr="00000000" w:rsidDel="00000000">
        <w:rPr>
          <w:i w:val="1"/>
          <w:rtl w:val="0"/>
        </w:rPr>
        <w:t xml:space="preserve"> euro</w:t>
      </w:r>
      <w:r w:rsidR="00000000" w:rsidRPr="00000000" w:rsidDel="00000000">
        <w:rPr>
          <w:rtl w:val="0"/>
        </w:rPr>
        <w:t xml:space="preserve">), kā arī pārējo attiecināmo izmaksu segšanai 34 328 </w:t>
      </w:r>
      <w:r w:rsidR="00000000" w:rsidRPr="00000000" w:rsidDel="00000000">
        <w:rPr>
          <w:i w:val="1"/>
          <w:rtl w:val="0"/>
        </w:rPr>
        <w:t xml:space="preserve">euro</w:t>
      </w:r>
      <w:r w:rsidR="00000000" w:rsidRPr="00000000" w:rsidDel="00000000">
        <w:rPr>
          <w:rtl w:val="0"/>
        </w:rPr>
        <w:t xml:space="preserve">, tai skaitā darba vietu uzturēšanai un aprīkošanai, projekta personāla komandējumu organizēšanai, atbalstāmo darbību “Informācijas nodrošināšana EURES tīkla ietvaros” un “Komunikācijas un vizuālās identitātes prasību nodrošināšanas pasākumi”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mērķa un  rādītāju sasniegšanai paredzētas </w:t>
      </w:r>
      <w:r w:rsidR="00000000" w:rsidRPr="00000000" w:rsidDel="00000000">
        <w:rPr>
          <w:b w:val="1"/>
          <w:rtl w:val="0"/>
        </w:rPr>
        <w:t xml:space="preserve">tiešās attiecināmās personāla izmaksas (plānotas 1 060 714 </w:t>
      </w:r>
      <w:r w:rsidR="00000000" w:rsidRPr="00000000" w:rsidDel="00000000">
        <w:rPr>
          <w:b w:val="1"/>
          <w:i w:val="1"/>
          <w:rtl w:val="0"/>
        </w:rPr>
        <w:t xml:space="preserve">euro</w:t>
      </w:r>
      <w:r w:rsidR="00000000" w:rsidRPr="00000000" w:rsidDel="00000000">
        <w:rPr>
          <w:b w:val="1"/>
          <w:rtl w:val="0"/>
        </w:rPr>
        <w:t xml:space="preserve"> apmērā) un pārējās attiecināmās izmaksas (plānotas 424 286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personāla izmaksas ietver finansējuma saņēmēja projekta vadības un īstenošanas personāla izmaksas, izņemot virsstundas. Savukārt pārējās attiecināmās izmaksas (piemēram, pakalpojumu līgumu izmaksas atbalstāmo darbību īstenošanai, telpu nomas, transporta pakalpojumu, transporta nomas izmaksas, izmaksas projekta personāla darba vietu aprīkojuma iegādei vai nomai un uzturēšanai, komandējumu izmaksas u.c.) finansējuma saņēmējs plāno kā vienu izmaksu pozīciju 40 procentu apmērā no tiešajām attiecināmajām personāla izmaksām.[6]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4.3.3.4. pasākuma </w:t>
      </w:r>
      <w:r w:rsidR="00000000" w:rsidRPr="00000000" w:rsidDel="00000000">
        <w:rPr>
          <w:b w:val="1"/>
          <w:rtl w:val="0"/>
        </w:rPr>
        <w:t xml:space="preserve">mērķa grupa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devēji – jebkura fiziska vai juridiska persona ar tiesībām nodarbināt;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ņēmēji, darba meklētāji, bezdarbnieki – NVA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nodarbinātie –  personas, kuras, saskaņā ar NVA Personāla attīstības nodaļas informāciju ir nodarbinātas NVA.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paredzētas vairākas atbalstāmās darbības, kuras tiks īstenotas ar </w:t>
      </w:r>
      <w:r w:rsidR="00000000" w:rsidRPr="00000000" w:rsidDel="00000000">
        <w:rPr>
          <w:b w:val="1"/>
          <w:rtl w:val="0"/>
        </w:rPr>
        <w:t xml:space="preserve">mērķi </w:t>
      </w:r>
      <w:r w:rsidR="00000000" w:rsidRPr="00000000" w:rsidDel="00000000">
        <w:rPr>
          <w:rtl w:val="0"/>
        </w:rPr>
        <w:t xml:space="preserve">uzlabot darba devēju, darba ņēmēju, bezdarbnieku un darba meklētāju piekļuvi informatīviem atbalsta pasākumiem, sniedzot atbalstu darba meklēšanā un darba tiesisko attiecību nodibināšanā: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mācības un seminār</w:t>
      </w:r>
      <w:r w:rsidR="00000000" w:rsidRPr="00000000" w:rsidDel="00000000">
        <w:rPr>
          <w:rtl w:val="0"/>
        </w:rPr>
        <w:t xml:space="preserve">i tās iestādes, kas nodrošina Latvijas Republikas darbību EURES tīklā, darbiniekiem par EURES tīklu, tā pieejamības nodrošināšanu un Eiropas darba mobilitātes jautājumiem (indikatīvās izmaksas </w:t>
      </w:r>
      <w:r w:rsidR="00000000" w:rsidRPr="00000000" w:rsidDel="00000000">
        <w:rPr>
          <w:b w:val="1"/>
          <w:rtl w:val="0"/>
        </w:rPr>
        <w:t xml:space="preserve">47 946 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informācijas nodrošināšana</w:t>
      </w:r>
      <w:r w:rsidR="00000000" w:rsidRPr="00000000" w:rsidDel="00000000">
        <w:rPr>
          <w:rtl w:val="0"/>
        </w:rPr>
        <w:t xml:space="preserve"> EURES tīkla ietvaros, kas ietver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EURES pieejamības un atpazīstamības nodrošināšana (piemēram, informatīvo materiālu izstrāde un izgatavošana, informācijas un komunikācijas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sniegšana darba devējiem, tai skaitā valsts un pašvaldību iestāžu, nevalstiskā sektora pārstāvjiem par EURES tīklu (piemēram, informatīvajos semināros, uzņēmēju izstādēs, konsultācijās), kā arī darbiekārtošanas un personāla atlases pasākumu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sniegšana darba ņēmējiem, darba meklētājiem un bezdarbniekiem (piemēram, informatīvajos semināros, izstādēs, atvērto durvju dienās, individuālajās konsultācijās) par dzīves un darba apstākļiem, par nodarbinātības iespējām un administratīvajām procedūrām Eiropas Savienības un Eiropas Ekonomikas zonas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nacionālā sadarbības tīkla veidošana un iesaistīto pušu informēšana, tostarp,  Eiropas prasmju, kompetenču, kvalifikāciju un profesiju klasifikācijas rīka adaptēšana un turpmāka aktualizēšana ar nacionālajām kvalifikāciju datubāzēm (piemēram, informatīvie semināri un 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dalība EURES tīkla Latvijas un starptautiskajos sadarbības pasākumos (piemēram, sanāksmēs, informatīvajos semināros, darba grupās, konferencēs, darba gadatirgos un darba mobilitātes pasākumos), kā arī šo pasākumu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tiks nodrošināti komunikācijas un vizuālās identitātes pasākumi,  kas noteikti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kas noteikti normatīvajos aktos, kas nosaka kārtību, kādā Eiropas Savienības fondu vadībā iesaistītās institūcijas nodrošina šo fondu ieviešanu 2021. – 2027. gada plānošanas periodā un atbilstoši Eiropas Savienības fondu 2021. – 2027. gada plānošanas perioda un Atveseļošanas fonda komunikācijas un dizaina vadlīnijām. Projekta īstenošanas vietā, kā arī izglītojošo un citu publisko pasākumu norises vietās tiks izvietoti informatīvie plakāti, informējot sabiedrību par projekta īstenošanu, tai skaitā par ESF Plus ieguldījumu projekta īstenošanā un mērķu sasniegšanā. NVA tīmekļvietnē tiks publicēta aktuālā informācija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punktā minēto atbalstāmo darbību īstenošanai paredzētas indikatīvās izmaksas </w:t>
      </w:r>
      <w:r w:rsidR="00000000" w:rsidRPr="00000000" w:rsidDel="00000000">
        <w:rPr>
          <w:b w:val="1"/>
          <w:rtl w:val="0"/>
        </w:rPr>
        <w:t xml:space="preserve">208 145  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projekta vadība un īstenošana</w:t>
      </w:r>
      <w:r w:rsidR="00000000" w:rsidRPr="00000000" w:rsidDel="00000000">
        <w:rPr>
          <w:rtl w:val="0"/>
        </w:rPr>
        <w:t xml:space="preserve"> (indikatīvās izmaksas </w:t>
      </w:r>
      <w:r w:rsidR="00000000" w:rsidRPr="00000000" w:rsidDel="00000000">
        <w:rPr>
          <w:b w:val="1"/>
          <w:rtl w:val="0"/>
        </w:rPr>
        <w:t xml:space="preserve">168 195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darba vietu aprīkošanai, ārvalstu un iekšzemes komandējumiem, uzturēšanai) un </w:t>
      </w:r>
      <w:r w:rsidR="00000000" w:rsidRPr="00000000" w:rsidDel="00000000">
        <w:rPr>
          <w:b w:val="1"/>
          <w:rtl w:val="0"/>
        </w:rPr>
        <w:t xml:space="preserve">1 060 714 </w:t>
      </w:r>
      <w:r w:rsidR="00000000" w:rsidRPr="00000000" w:rsidDel="00000000">
        <w:rPr>
          <w:b w:val="1"/>
          <w:i w:val="1"/>
          <w:rtl w:val="0"/>
        </w:rPr>
        <w:t xml:space="preserve">euro</w:t>
      </w:r>
      <w:r w:rsidR="00000000" w:rsidRPr="00000000" w:rsidDel="00000000">
        <w:rPr>
          <w:rtl w:val="0"/>
        </w:rPr>
        <w:t xml:space="preserve"> tiešās projekta attiecināmās personāla izmaksas, kas ietver projekta vadības un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personāls nodrošinās projekta darbību plānošanu, ieviešanas uzraudzību un vadību projekta mērķa sasniegšanai. Indikatīvi plānotas 3 vadības personāla slodzes un 4 īstenošanas personāla slodzes. TA projektā ar vienu veselu slodzi saprot Darba likumā noteikto normālo darba laiku – 40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2029. gada 31. decembrim plānots sasniegt šādus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iznākuma rādītājs</w:t>
      </w:r>
      <w:r w:rsidR="00000000" w:rsidRPr="00000000" w:rsidDel="00000000">
        <w:rPr>
          <w:rtl w:val="0"/>
        </w:rPr>
        <w:t xml:space="preserve"> – nacionāla, reģionāla vai vietēja mēroga valsts administrācijas vai sabiedrisko pakalpojumu iestāžu un pakalpojumu skaits, kas saņēmuši atbalstu – 1, tai skaitā šis rādītājs jau noteikts kā starpposma rādītājs, kurš izpildāms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nacionālais rādītājs</w:t>
      </w:r>
      <w:r w:rsidR="00000000" w:rsidRPr="00000000" w:rsidDel="00000000">
        <w:rPr>
          <w:rtl w:val="0"/>
        </w:rPr>
        <w:t xml:space="preserve"> – atbalstīto EURES pasākumu skaits – 600, tai skaitā līdz 2024. gada 31. decembrim starpposma rādītājs – atbalstīto EURES pasākumu skaits –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nacionālā rādītāja vērtība  600 noteikta, balstoties uz NVA datiem par EURES sniegto pakalpojumu intensitāti 2014.–2019. gada periodā (vidēji 100 EURES pasākumi ik gadu (kopā 6 gadi) = 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sasniegšanai atsevišķi finansējums netiek plānots, tā sasniegšana tiks nodrošināta projektam pieejamā finansējuma ietvaros. Savukārt starpposma vērtība 100 noteikta, balstoties uz iepriekš pie sasniedzamās vērtības aprakstītajiem pieņēmumiem, un pieņēmumiem par projekta īstenošanas periodu (proti, starpposma vērtība noteikta viena gada periodam: 600 (kopējais pasākumu skaits) ÷ 6 (kopējais projekta īstenošanas termiņš gados) =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nacionālā radītāja vērtība tiks uzskatīta par sasniegtu, kad pasākums tiks īstenots. Rādītāja sasniegšanu apliecinās pieņemšanas-nodošanas akti, dalībnieku saraksti, rēķini u.c. dokumenti par veiktajiem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rādītāja izpildi NVA ziņos Centrālai finanšu un līgumu aģentūrai (turpmāk – CFLA), iesniedzot kārtējo maksājuma pieprasījumu Kohēzijas politikas fondu vadības informācijas sistēmā (turpmāk – KPVIS). Dati tiks uzkrāti KPVIS nacionālā līmenī, par tiem netiks ziņots Eiropas Komisijai. Ņemot vērā, ka 4.3.3.4. pasākumam noteiktais programmas rādītājs ir vispārīgs un neatspoguļo projekta tvērumu, LM TA projektā ir noteikusi nacionālo rādītāju, kas uzkrājams un uzraugāms līdzvērtīgi kā programmas rādītājs, lai vērtētu projekta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TA projektā 13.1. apakšdarbības ietvaros noteiktās mācības, plānots, ka tās papildina programmas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pasākumā “Nodarbinātības valsts aģentūras veiktspējas stiprināšana un pakalpojumu modernizēšana” paredzētās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iesaiste 4.3.3.4. pasākuma atbalstāmajās darbībās indikatīvi uzsāksies 2023. gada decembrī, kad noslēgsies mērķa grupas iesaiste 7.1.2.1. pasākuma ietvaros. Demarkāciju starp īstenotajiem projektiem ir plānots īstenot NVA līmenī, nodrošinot, ka viena un tā pati fiziskā vai juridiskā persona nesaņems vienlaicīgi vienu un to pašu atbalstu abos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demarkācijas un dubultfinansējuma riska novēršanas uzraudzības instrumentiem plānots izmantot Finanšu ministrijas izstrādāto Dubultfinansējuma riska kontroles matricu. Tāpat finansējuma saņēmējs nodrošina, ka  projektā sniegtais atbalsts mērķa grupai netiek finansēts vai līdzfinansēts, kā arī to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arī paredz finansējuma saņēmēja pienākumu nodrošināt, ka projekta īstenošanas laikā tiek ievēroti interešu konflikta, korupcijas un krāpšanas novēršanas nosacījumi. Tā nodrošināšanā finansējuma saņēmējs izstrādās arī kārtību, kā pārliecināsies par minēto risku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56. panta 1.punktam nav jāveic aprēķins piemērojamās likmes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mērķa grupai netiks sniegts atbalsts EURES tīkla ietvaros, netiks izpildītas iestāšanās ES laikā uzņemtās saistības, kas noteiktas LESD 45. pantā  – ES jānodrošina darba ņēmēju pārvietošanās brīvība. Starptautisko saistību izpildei, 2023. gada 31. decembrī noslēdzoties 7.1.2.1. pasākuma īstenošanai, ir jāturpina nodrošināt EURES tīkla darbība Latvijā, rodot tam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 projekts netiks apstiprināts, EURES tīkla darbība Latvijā būs jānodrošina no valsts budžeta finanšu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4.3.3.4. pasākuma plānotās izmaksas veido 1 485 000 </w:t>
      </w:r>
      <w:r w:rsidR="00000000" w:rsidRPr="00000000" w:rsidDel="00000000">
        <w:rPr>
          <w:i w:val="1"/>
          <w:rtl w:val="0"/>
        </w:rPr>
        <w:t xml:space="preserve">euro</w:t>
      </w:r>
      <w:r w:rsidR="00000000" w:rsidRPr="00000000" w:rsidDel="00000000">
        <w:rPr>
          <w:rtl w:val="0"/>
        </w:rPr>
        <w:t xml:space="preserve"> (detalizēts izmaksu sadalījumus pa atbalstāmajām darbībām ir sniegts anotācijas 1.3. apakšadaļā). Atbilstoši anotācijas 2.2.6. apakšpunktā norādītajam, EURES konsultācijas sešu gadu laikā varētu saņemt vidēji 24 000 darba meklētāju, līdz ar to vidējās viena dalībnieka izmaksas projektā veido 62 </w:t>
      </w:r>
      <w:r w:rsidR="00000000" w:rsidRPr="00000000" w:rsidDel="00000000">
        <w:rPr>
          <w:i w:val="1"/>
          <w:rtl w:val="0"/>
        </w:rPr>
        <w:t xml:space="preserve">euro</w:t>
      </w:r>
      <w:r w:rsidR="00000000" w:rsidRPr="00000000" w:rsidDel="00000000">
        <w:rPr>
          <w:rtl w:val="0"/>
        </w:rPr>
        <w:t xml:space="preserve">. EURES konsultācijas tiek sniegtas tajā skaitā ārvalstīs dzīvojošajiem latviešiem, kuri vēlas atgriezties un uzsākt darba gaitas Latvijā. Ievērojot, ka nav statistika, kura apliecinātu  EURES īstenošanas ietekmē Latvijā atgriezušos personu skaitu, nav iespēju izdarīt objektīvus pieņēmumus, lai veiktu projekta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“ES fondu ieguldījumu ilgtspējīgas un kvalitatīvas nodarbinātībā un darbaspēka mobilitātē 2014. – 2020. gada plānošanas periodā lietderības, efektivitātes un ietekmes 2022. gada izvērtējums”[7] tika vērtēts 7.1.2.1. pasākuma prasību un izmaksu samērīgums pret ieguvumiem un atzīts, ka pasākums finanšu ziņā ir bijis efektīvs (izvērtējuma 138.-141.lpp.)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https://www.esfondi.lv/upload/Zinojumi/biss_gala-zinojums_20.09.2022.pdf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“ES fondu ieguldījumu ilgtspējīgas un kvalitatīvas nodarbinātībā un darbaspēka mobilitātē 2014. – 2020. gada plānošanas periodā lietderības, efektivitātes un ietekmes 2022. gada izvērtējums”[8]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https://www.esfondi.lv/upload/Zinojumi/biss_gala-zinojums_20.09.2022.pdf, 138.-141.lp.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minēts, ka, izstrādājot 7.1.2.1. pasākuma normatīvo regulējumu mērķi un vajadzības EURES tīkla darbības nodrošināšanai Latvijā, tās noteiktas pilnīgi un visaptveroši. 7.1.2.1.  pasākuma īstenošana veicina emigrantu atgriešanos Latvijā, sniedzot aktuālu informāciju par darba tirgu un brīvajām darba vietām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7.1.2.1. pasākumā plānotās aktivitātes atbilst izvirzītajiem mērķiem, un tā sekmīgā īstenošana liecina, ka nepieciešamie resursi ir atbilstoši saplānoti: ir paredzēts gan nepieciešamais kopējais finansējums, gan arī nodrošināti nepieciešamie cilvēkresursi 7.1.2.1. pasākuma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nozares investīciju projektiem plānotais iznākums ir nodarbinātības veicināšana dažādām mērķa grupām, kā arī aktīvās darba tirgus politikas pasākumu īstenošana un to satura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ietvaros plānotās atbalstāmās darbības nodrošinās EURES tīkla darbību Latvijā, tādējādi izpildot LESD 45. pantā noteiktās prasības. Saskaņā ar MK 2012. gada 18. decembra noteikumiem Nr. 876 “Nodarbinātības valsts aģentūras nolikums”, EURES tīkla darbības nodrošināšana Latvijā ir NVA uzdevums, kuru NVA veic atbilstoši Bezdarbnieku un darba meklētāju atbalsta likumā, kā arī MK 2011. gada 25. janvāra noteikumos Nr. 75 “Noteikumi par aktīvo nodarbinātības pasākumu un preventīvo bezdarba samazināšanas pasākumu organizēšanas un finansēšanas kārtību un pasākumu īstenotāju izvēles principiem”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4.3.3.4. pasākuma mērķa grupai netiks sniegts atbalsts EURES tīkla ietvaros, netiks izpildītas Latvijas iestāšanās ES laikā uzņemtās saistības, kas noteiktas LESD 45. pantā  un paredz darba ņēmēju brīvas pārvietošanās ES nodrošināšanu, kas tiek veicināta katrā ES dalībvalstī ar EURES tīkla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atbalstāmās darbības pēc būtības ir turpinājums 7.1.2.1.pasākumam, kura detalizēta izmaksu un ieguvumu analīze ir veikta 2022. gada noslēgumā Finanšu ministrijas ziņojumā “ES fondu ieguldījumu ilgtspējīgas un kvalitatīvas nodarbinātībā un darbaspēka mobilitātē 2014. – 2020. gada plānošanas periodā lietderības, efektivitātes un ietekmes 2022.gada izvērtējums” (FM2021/43 (TP IZV)) (https://petijumi.mk.gov.lv/sites/default/files/title_file/Petijums_ES_fondu_ieguld_ilgtspej_kvalit_darbasp_mobilit_un_lietder_efektiv.pdf). Ziņojumā norādīts, ka 7.1.2.1. pasākums finanšu ziņā ir bijis efektīvs.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ietvaros īstenotās atbalstāmās darbības perspektīvā atstās pozitīvu ietekmi uz tautsaimniecību kopumā (izvērstāks skaidrojums par ietekmi uz tautsaimniecību ietverts TA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jau TA projektā minētajām, vienkāršoto izmaksu piemērošana šobrīd nav plānota. Uzkrājot nepieciešamo informāciju vienības izmaksu standarta likmes personāla atlīdzības izmaksām izstrādei projekta īstenošanas gaitā, LM izvērtēs iespēju izstrādāt šādu vienkāršoto izmaksu metodiku  un, ja tas būs iespējams, veiks attiecīgus grozījumus 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(NVA) līmenī </w:t>
      </w:r>
      <w:r w:rsidR="00000000" w:rsidRPr="00000000" w:rsidDel="00000000">
        <w:rPr>
          <w:b w:val="1"/>
          <w:rtl w:val="0"/>
        </w:rPr>
        <w:t xml:space="preserve">nav identificētas komercdarbības atbalsta pazīmes</w:t>
      </w:r>
      <w:r w:rsidR="00000000" w:rsidRPr="00000000" w:rsidDel="00000000">
        <w:rPr>
          <w:rtl w:val="0"/>
        </w:rPr>
        <w:t xml:space="preserve">, jo saskaņā ar Ministru kabineta 2012.gada 18.decembra noteikumiem Nr. 876 “Nodarbinātības valsts aģentūras nolikums” NVA ir tiešās valsts pārvaldes iestāde. Ievērojot minēto, NVA 4.3.3.4. pasākumu īsteno valsts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ESF plus investīcijām piemērots 134. intervences kods “Pasākumi nodarbinātības pieejamības uzlabošanai”, atbilstoši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09,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dzimumu līdztiesības aspekta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klienti, tostarp 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netieši ietekmē jebkuru cilvēku ES, kurš, meklējot darba iespējas Latvijā vai ārpus tās, varētu izmantot NVA sniegto atbalstu, tai skaitā piedalīties EURES pakalpojumu saņemšanā vai sniegt atbalstu nodarbinātībai kā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klienti (darba ņēmēji, darba meklētāji, bezdarbnieki) varēs izdarīt apzinātāku darbvietas izvēli, jo tiem būs pieejama informācija ne tikai par konkrēto darbvietu, bet arī par dzīves un darba apstākļiem konkrētajā ES/EZZ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Ārvalstīs dzīvojošie darba ņēmēji, darba meklētāji un bezdarbnieki varēs saņemt informāciju par aktuālajām darba vietām un dzīves apstākļiem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NVA nodarbinātajiem, kuru darbs saistīts ar EURES tīkla darbību, būs iespēja pilnveidot zināšanas semināros un mācībās par EURES tīkla aktualitātēm, tā pieejamības nodrošināšanu un Eiropas darba mobilitātes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pildīs atbildīgās iestādes funkcijas, un NVA pildīs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īstenošanas ietvaros tiks nodrošināta iespēja NVA piesaistīt finansējumu EURES tīkla darbības nodrošināšanai Latvijā, tai skaitā vairot to NVA nodarbināto kompetenci, kuri saistīti ar EURES tīkla darbības īstenošanu. Tāpat no Latvijas partnerības EURES tīklā ieguvēji ir gan darba devēji, gan, tai skaitā, institūcijas (pašvaldības, nevalstiskās organizācijas, valsts pārvaldes institūcijas u.c.), kuras ikdienā strādā ar nodarbinātības jautājumiem, jo TA projekts paredz virkni informatīvu aktivitāšu par darba un dzīves apstākļiem ES/EZZ valstīs izplatīšanai. Ar EURES tīkla palīdzību darba devēji varēs piesaistīt jaunu darbaspēku no citām ES/EEZ valstīm, kā arī sniegt atbalstu nodarbinātībai valstspiederīgajiem, kuri vēlas atgriezties dzīvei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īstenošana atstās pozitīvu ietekmi uz ēnu ekonomikas mazināšanu, jo iedzīvotāji saņems informāciju par drošām darba vietām un darba apstākļiem, kā arī riskiem nodarbinātībai ES valstīs. Pieņemot, ka EURES konsultācijas sešu gadu laikā varētu saņemt vidēji 24 000 darba meklētāju (skatīt aprēķinus 2.2.6. apakšpunktā) un vismaz 18,3% no visiem Latvijā nodarbinātajiem strādās nedeklarēti (skatīt [2] pētījuma secinājumus), sagaidāms, ka indikatīvi 4 000 darba meklētāji (24 000 x 18,3%) pieņems lēmumu strādāt drošos darba apstākļos. Realizējoties pieņēmumam, pozitīvi tiktu ietekmēts kopējais ES rādītājs (9,3% no visa darbaspēka strādā nedeklarēti, skatīt 1.3. apakšsadaļu), kas varētu samazināties vismaz par 0,01 procentpunktu, t.i., līdz 9,29% ((197 111 000 nodarbinātie ES [9] x 9,3%)) – 4 000 EURES klienti) x 9,3%/(197 111 000 x 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https://ec.europa.eu/eurostat/databrowser/view/LFSA_EGAIS__custom_7179095/default/table?lang=en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gadā Eiropas Komisija organizēja publiskās konsultācijas, lai veiktu ex-post izvērtējumu EURES regulējuma ietekmei uz darbaspēka mobilitāti ES[10]. Kopumā aptaujā piedalījās 3 853 respondenti, ieskaitot vismaz 2 055 darba meklētājus. Konsultāciju laikā 76% respondentu piekrita, ka EURES tīkls  ir efektīvs darbinieku mobilitātes nodrošināšanā ES un 70% uzskatīja, ka EURES sniegtie pakalpojumi ir noderīgi un kvalitatīvi. Vienlaicīgi 45% respondentu uzskatīja, ka EURES sasniedz mērķus par zemākām iespējamām investīcijām un 72% norādīja, ka EURES pakalpojumu izmantošana palielina iespējas atrast darbu.   Tāpat 25% respondentu norādīja, ka viņi nevarētu vai viņiem būtu lielas grūtības atrast darbu bez EURES pakalpojumu izmantošanas, savukārt darba devēju vidū 61% norādīja, ka bez EURES pakalpojumu izmantošanas atbilstošus darbiniekus atrast būtu sarežģītāk: laikietilpīgāk – 37% vai pat neiespējami – 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7.1.2.1. pasākuma ietvaros 2022. gadā EURES konsultācijas saņēma vidēji 4 000 darba meklētāji un 600 darba devēji, kas veido vidēji 4,4% no kopējās NVA reģistrēto bezdarbnieku plūsmas 2022. gadā (90 577 personas) un 1,5% no kopējā darba devēju skaita 2022. gadā (40 900 darba devēji [11]). Prognozēts, ka EURES pakalpojumus Latvijā turpmāko sešu gadu laikā izmantos vismaz 5% no darba meklētājiem valstī (4 000 EURES klienti gadā x 6 gadi/ (80 000 (prognozētā plūsma reģistrētajā bezdarbā gadā turpmākajos sešos gados) x 6 gadi)) un vismaz 8,7% no visiem darba devējiem valstī (600 unikālie darba devēji gadā x 6 gadi/41 000 (vidējais darba devēju skaits valstī 2024.-2029.gadā)). Konsultācijas/ semināra indikatīvās izmaksas vienam darba meklētājam veido indikatīvi 62 euro (1 485 000 / 24 000), tomēr jāņem vērā, ka tā ir tikai viena no mērķa grupām, un labuma guvēji, kas piedalīsies projekta aktivitātēs ir arī darba devēji un dažādas citas sabiedrības grupas, līdz ar to vienas konsultācijas/semināra izmaksas vienam dalībniekam varētu būt daudz zemākas.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https://ec.europa.eu/social/main.jsp?langId=en&amp;catId=89&amp;newsId=10068&amp;furtherNews=yes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https://data.stat.gov.lv/pxweb/lv/OSP_PUB/START__EMP__NB__NBLA/NBL070/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210 375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210 375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4.3.3.4. pasākumam plānotais un pieejamais kopējais attiecināmais finansējums ir 1 485 000 </w:t>
            </w:r>
            <w:r w:rsidR="00000000" w:rsidRPr="00000000" w:rsidDel="00000000">
              <w:rPr>
                <w:sz w:val="24"/>
                <w:i w:val="1"/>
                <w:rtl w:val="0"/>
              </w:rPr>
              <w:t xml:space="preserve">euro</w:t>
            </w:r>
            <w:r w:rsidR="00000000" w:rsidRPr="00000000" w:rsidDel="00000000">
              <w:rPr>
                <w:sz w:val="24"/>
                <w:rtl w:val="0"/>
              </w:rPr>
              <w:t xml:space="preserve">, tai skaitā Eiropas Sociālā fonda Plus finansējums (turpmāk – ESF Plus) – 1 262 250 </w:t>
            </w:r>
            <w:r w:rsidR="00000000" w:rsidRPr="00000000" w:rsidDel="00000000">
              <w:rPr>
                <w:sz w:val="24"/>
                <w:i w:val="1"/>
                <w:rtl w:val="0"/>
              </w:rPr>
              <w:t xml:space="preserve">euro</w:t>
            </w:r>
            <w:r w:rsidR="00000000" w:rsidRPr="00000000" w:rsidDel="00000000">
              <w:rPr>
                <w:sz w:val="24"/>
                <w:rtl w:val="0"/>
              </w:rPr>
              <w:t xml:space="preserve"> un valsts budžeta (turpmāk – VB) līdzfinansējums – 222 750</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pasākuma attiecināmām izmaksām. Budžeta izdevumi ir kopējie pasākuma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4.3.3.4. pasākuma projektu plānots ieviest </w:t>
            </w:r>
            <w:r w:rsidR="00000000" w:rsidRPr="00000000" w:rsidDel="00000000">
              <w:rPr>
                <w:sz w:val="24"/>
                <w:b w:val="1"/>
                <w:rtl w:val="0"/>
              </w:rPr>
              <w:t xml:space="preserve"> no 2023. gada 1. decembra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4.3.3.4.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gadā</w:t>
            </w:r>
            <w:r w:rsidR="00000000" w:rsidRPr="00000000" w:rsidDel="00000000">
              <w:rPr>
                <w:sz w:val="24"/>
                <w:rtl w:val="0"/>
              </w:rPr>
              <w:t xml:space="preserve"> finansējums plānots indikatīvi 247 500 </w:t>
            </w:r>
            <w:r w:rsidR="00000000" w:rsidRPr="00000000" w:rsidDel="00000000">
              <w:rPr>
                <w:sz w:val="24"/>
                <w:i w:val="1"/>
                <w:rtl w:val="0"/>
              </w:rPr>
              <w:t xml:space="preserve">euro</w:t>
            </w:r>
            <w:r w:rsidR="00000000" w:rsidRPr="00000000" w:rsidDel="00000000">
              <w:rPr>
                <w:sz w:val="24"/>
                <w:rtl w:val="0"/>
              </w:rPr>
              <w:t xml:space="preserve">, t.sk., ESF Plus finansējums 210 375 </w:t>
            </w:r>
            <w:r w:rsidR="00000000" w:rsidRPr="00000000" w:rsidDel="00000000">
              <w:rPr>
                <w:sz w:val="24"/>
                <w:i w:val="1"/>
                <w:rtl w:val="0"/>
              </w:rPr>
              <w:t xml:space="preserve">euro</w:t>
            </w:r>
            <w:r w:rsidR="00000000" w:rsidRPr="00000000" w:rsidDel="00000000">
              <w:rPr>
                <w:sz w:val="24"/>
                <w:rtl w:val="0"/>
              </w:rPr>
              <w:t xml:space="preserve"> un VB finansējums 37 125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r w:rsidR="00000000" w:rsidRPr="00000000" w:rsidDel="00000000">
              <w:rPr>
                <w:sz w:val="24"/>
                <w:rtl w:val="0"/>
              </w:rPr>
              <w:t xml:space="preserve"> finansējums plānots indikatīvi 247 500 </w:t>
            </w:r>
            <w:r w:rsidR="00000000" w:rsidRPr="00000000" w:rsidDel="00000000">
              <w:rPr>
                <w:sz w:val="24"/>
                <w:i w:val="1"/>
                <w:rtl w:val="0"/>
              </w:rPr>
              <w:t xml:space="preserve">euro</w:t>
            </w:r>
            <w:r w:rsidR="00000000" w:rsidRPr="00000000" w:rsidDel="00000000">
              <w:rPr>
                <w:sz w:val="24"/>
                <w:rtl w:val="0"/>
              </w:rPr>
              <w:t xml:space="preserve">, t.sk., ESF Plus finansējums 210 375 </w:t>
            </w:r>
            <w:r w:rsidR="00000000" w:rsidRPr="00000000" w:rsidDel="00000000">
              <w:rPr>
                <w:sz w:val="24"/>
                <w:i w:val="1"/>
                <w:rtl w:val="0"/>
              </w:rPr>
              <w:t xml:space="preserve">euro </w:t>
            </w:r>
            <w:r w:rsidR="00000000" w:rsidRPr="00000000" w:rsidDel="00000000">
              <w:rPr>
                <w:sz w:val="24"/>
                <w:rtl w:val="0"/>
              </w:rPr>
              <w:t xml:space="preserve">un VB finansējums 37 125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w:t>
            </w:r>
            <w:r w:rsidR="00000000" w:rsidRPr="00000000" w:rsidDel="00000000">
              <w:rPr>
                <w:sz w:val="24"/>
                <w:rtl w:val="0"/>
              </w:rPr>
              <w:t xml:space="preserve"> finansējums plānots indikatīvi 247 500 </w:t>
            </w:r>
            <w:r w:rsidR="00000000" w:rsidRPr="00000000" w:rsidDel="00000000">
              <w:rPr>
                <w:sz w:val="24"/>
                <w:i w:val="1"/>
                <w:rtl w:val="0"/>
              </w:rPr>
              <w:t xml:space="preserve">euro</w:t>
            </w:r>
            <w:r w:rsidR="00000000" w:rsidRPr="00000000" w:rsidDel="00000000">
              <w:rPr>
                <w:sz w:val="24"/>
                <w:rtl w:val="0"/>
              </w:rPr>
              <w:t xml:space="preserve">, t.sk., ESF Plus finansējums 210 375 </w:t>
            </w:r>
            <w:r w:rsidR="00000000" w:rsidRPr="00000000" w:rsidDel="00000000">
              <w:rPr>
                <w:sz w:val="24"/>
                <w:i w:val="1"/>
                <w:rtl w:val="0"/>
              </w:rPr>
              <w:t xml:space="preserve">euro</w:t>
            </w:r>
            <w:r w:rsidR="00000000" w:rsidRPr="00000000" w:rsidDel="00000000">
              <w:rPr>
                <w:sz w:val="24"/>
                <w:rtl w:val="0"/>
              </w:rPr>
              <w:t xml:space="preserve"> un VB finansējums 37 125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w:t>
            </w:r>
            <w:r w:rsidR="00000000" w:rsidRPr="00000000" w:rsidDel="00000000">
              <w:rPr>
                <w:sz w:val="24"/>
                <w:rtl w:val="0"/>
              </w:rPr>
              <w:t xml:space="preserve"> finansējums plānots indikatīvi 247 500</w:t>
            </w:r>
            <w:r w:rsidR="00000000" w:rsidRPr="00000000" w:rsidDel="00000000">
              <w:rPr>
                <w:sz w:val="24"/>
                <w:i w:val="1"/>
                <w:rtl w:val="0"/>
              </w:rPr>
              <w:t xml:space="preserve"> euro</w:t>
            </w:r>
            <w:r w:rsidR="00000000" w:rsidRPr="00000000" w:rsidDel="00000000">
              <w:rPr>
                <w:sz w:val="24"/>
                <w:rtl w:val="0"/>
              </w:rPr>
              <w:t xml:space="preserve">, t.sk., ESF Plus finansējums 210 375 </w:t>
            </w:r>
            <w:r w:rsidR="00000000" w:rsidRPr="00000000" w:rsidDel="00000000">
              <w:rPr>
                <w:sz w:val="24"/>
                <w:i w:val="1"/>
                <w:rtl w:val="0"/>
              </w:rPr>
              <w:t xml:space="preserve">euro</w:t>
            </w:r>
            <w:r w:rsidR="00000000" w:rsidRPr="00000000" w:rsidDel="00000000">
              <w:rPr>
                <w:sz w:val="24"/>
                <w:rtl w:val="0"/>
              </w:rPr>
              <w:t xml:space="preserve"> un VB finansējums 37 125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w:t>
            </w:r>
            <w:r w:rsidR="00000000" w:rsidRPr="00000000" w:rsidDel="00000000">
              <w:rPr>
                <w:sz w:val="24"/>
                <w:rtl w:val="0"/>
              </w:rPr>
              <w:t xml:space="preserve"> finansējums plānots indikatīvi 247 500</w:t>
            </w:r>
            <w:r w:rsidR="00000000" w:rsidRPr="00000000" w:rsidDel="00000000">
              <w:rPr>
                <w:sz w:val="24"/>
                <w:i w:val="1"/>
                <w:rtl w:val="0"/>
              </w:rPr>
              <w:t xml:space="preserve"> euro</w:t>
            </w:r>
            <w:r w:rsidR="00000000" w:rsidRPr="00000000" w:rsidDel="00000000">
              <w:rPr>
                <w:sz w:val="24"/>
                <w:rtl w:val="0"/>
              </w:rPr>
              <w:t xml:space="preserve">, t.sk., ESF Plus finansējums 210 375 </w:t>
            </w:r>
            <w:r w:rsidR="00000000" w:rsidRPr="00000000" w:rsidDel="00000000">
              <w:rPr>
                <w:sz w:val="24"/>
                <w:i w:val="1"/>
                <w:rtl w:val="0"/>
              </w:rPr>
              <w:t xml:space="preserve">euro</w:t>
            </w:r>
            <w:r w:rsidR="00000000" w:rsidRPr="00000000" w:rsidDel="00000000">
              <w:rPr>
                <w:sz w:val="24"/>
                <w:rtl w:val="0"/>
              </w:rPr>
              <w:t xml:space="preserve"> un VB finansējums 37 125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gadā</w:t>
            </w:r>
            <w:r w:rsidR="00000000" w:rsidRPr="00000000" w:rsidDel="00000000">
              <w:rPr>
                <w:sz w:val="24"/>
                <w:rtl w:val="0"/>
              </w:rPr>
              <w:t xml:space="preserve"> finansējums plānots indikatīvi 247 500 </w:t>
            </w:r>
            <w:r w:rsidR="00000000" w:rsidRPr="00000000" w:rsidDel="00000000">
              <w:rPr>
                <w:sz w:val="24"/>
                <w:i w:val="1"/>
                <w:rtl w:val="0"/>
              </w:rPr>
              <w:t xml:space="preserve">euro</w:t>
            </w:r>
            <w:r w:rsidR="00000000" w:rsidRPr="00000000" w:rsidDel="00000000">
              <w:rPr>
                <w:sz w:val="24"/>
                <w:rtl w:val="0"/>
              </w:rPr>
              <w:t xml:space="preserve">, t.sk., ESF Plus finansējums 210 375 </w:t>
            </w:r>
            <w:r w:rsidR="00000000" w:rsidRPr="00000000" w:rsidDel="00000000">
              <w:rPr>
                <w:sz w:val="24"/>
                <w:i w:val="1"/>
                <w:rtl w:val="0"/>
              </w:rPr>
              <w:t xml:space="preserve">euro</w:t>
            </w:r>
            <w:r w:rsidR="00000000" w:rsidRPr="00000000" w:rsidDel="00000000">
              <w:rPr>
                <w:sz w:val="24"/>
                <w:rtl w:val="0"/>
              </w:rPr>
              <w:t xml:space="preserve"> un VB finansējums 37 125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sagatavos un iesniegs Finanšu ministrijai finanšu līdzekļu pieprasījumu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2024. gadā 247 500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iesniegs priekšlikumu par TA projektā paredzēto atbalstāmo darbību īstenošanai papildus nepieciešamo finansējumu 2025. 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tiks plānots apakšprogrammā 63.08.00 “Eiropas Sociālā fonda Plus (ESF+) projektu un pasākumu īstenošana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ir norādīts indikatīvi un var tikt precizēts, iesniedzot projekta iesniegumu CFLA, kā arī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4.3.3.4. pasākuma projekta īstenošanā paredzēts visu projekta īstenošanas laiku (72 mēnešus) no jauna izveidotās amata vietās iesaistīt indikatīvi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vadības personālu: projekta vadītāju – EURES koordinatoru (1 slodze), vecāko ekspertu (1 slodze) un vecāko ekonomistu (1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īstenošanas personālu: EURES konsultantu (4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4.3.3.4. pasākuma projekta īstenošanas laiku. Personāla amatus, saimes, kā arī nepieciešamo skaitu noteiks finansējuma saņēmējs, iesniedzot projekta iesniegumu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 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56.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 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2018/ 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21.4.2.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LM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TA projekta izstrādes laikā varēja iesaistītas publiskās apspriešanas ietvaros.   Pastarpināti priekšlikumi EURES pakalpojumu pilnveidei ir saņemti esošās sadarbības ar NVO ietvaros (NVA ir sadarbība ar vairāk kā 130 biedrībām un nodibinājumiem, kas piedalās subsidēto darba vietu izveidē un praktisko darba iemaņu nodrošināšanas pasākumā nelabvēlīgākā situācijā esošajām sabiedrības grupām), kas kā dalībnieki 7.1.2.1. pasākuma ietvaros piedalās arī EURES organizētajos semināros, vebināros un vakanču gadatirgos.  Aktīva sadarbība notiek ar JCI Latvia, biedrību "Drošā māja", Liepājas Neredzīgo biedrību, “Iespēju ceļš”, “Totaldobre”, “Sporta un fiziskās attīstības klubs”, “Zariņš&amp;CO”, “LIFT UP”, “Mēs kopā spēks”, “Alternativa plus”, “Tu vari”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https://tapportals.mk.gov.lv/public_participation/5adbd1c4-2bdf-4823-9fcb-c91e8104f5e1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ir dota iespēja rakstiski sniegt viedokli par TA projektu tā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Viedokļa sniegšanas laiks no 2023. gada 6. jūnija līdz 2023. gada 18.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nav saņemti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pilda CFLA, projekta iesniedzējs, pēc projekta iesnieguma apstiprināšanas, projekta finansējuma saņēmējs –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EURES tīkla darbību īstenošana sniedz iespēju atrast darbu plašākam iedzīvotāju skaitam un aizpildīt ilgstoši neaizpildītas darba vietas, piesaistot arī ārvalstu darbaspēku. Tas veicinās personu integrēšanos sabiedrībā, veicinās tādas sociālās un ekonomiskās vides veidošanos, kas ir iekļaujoša un ņem vērā ikviena sabiedrības locekļa intereses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ietvaros tiks īstenotas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horizontālā principa “Vienlīdzība, iekļaušana, nediskriminācija un pamattiesību ievērošana” (turpmāk –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nodrošināts,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NVA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nodrošināts, ka konkrētajai videi/objektam/pasākuma norises vietai ir iespēja fiziski piekļūt un to izmantot cilvēkiem ar dažādiem funkcionāliem traucējumiem gan kā pasākuma skatītājiem,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pasākumos un diskusijās (diskusiju paneļi) tiks piesaistīti abu dzimumu eksperti, viedokļu paudēji, lai nodrošinātu abu dzimumu viedokļu, situācijas, vajadzību atspoguļojumu un interešu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veicina darbaspēku brīvu pārvietošanos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ietvaros ir paredzēts veikt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piešķirtās rīcības brīvības joma un tās īstenošanas veids. Turklāt šīs iestādes tiesības ir jādefinē pietiekami precīzi, lai ne tikai iestādei būtu saprotamas tiesību īstenošanas robežas, bet arī indivīdam, lai vajadzības gadījumā ar atbilstošu padomu varētu regulēt un pielāgot savu rīcību (Eiropas Cilvēktiesību tiesas 2008. gada 4. decembra spriedums lietā  S. un Marper pret Apvienoto Karalisti [Lielā Palāta], Nr. 30562/04 un Nr. 30566/04, 95. – 96. punkti). Tādējādi, nosakot NVA un pakalpojuma sniedzējiem tiesības projekta īstenošanas laikā veikt datu subjektu personas datu apstrādi atbalsta sniegšanai 4.3.3.4. pasākuma mērķa grupas personām (norādītas TA projekta 3. punktā), TA projektā noteiktas konkrēti veicamās personas datu apstrādes darbības minētā nolūka sasniegšanai (Eiropas Cilvēktiesību tiesas 2012. gada 13. novembra spriedums lietā M. M. pret Apvienoto Karalisti, pieteikuma Nr. 24029/07; Eiropas Cilvēktiesību tiesas 1984. gada 2. augusta spriedums lietā Malone pret Apvienoto Karalisti, 68. punkts). Savukārt NVA kā finansējuma saņēmēja pienākums sagatavot maksājumu pieprasījumus noteikts MK 2023. gada 21. marta noteikumos Nr. 135 “Eiropas Savienības fondu projektu pārbaužu veikšanas kārtība 2021.–2027. gada plānošanas periodā” (turpmāk – MK noteikumi Nr.135). Maksājumu pieprasījumos ietverto izdevumu attiecināmības pamatošanas nolūkā finansējuma saņēmējam atbilstoši TA projektā noteiktajam, ir pienākums veikt projektā iesaistāmās mērķa grupas pārbaudi, identificēšanu un uzskaiti. MK noteikumu Nr.135 46. punkts paredz, ka finansējuma saņēmējs pārbauda, vai sadarbības partnera un gala saņēmēja sniegtā informācija maksājuma pieprasījumam par veiktiem projekta izdevumiem un iepirkumiem (ja attiecināms) vadības informācijas sistēmā ir korekta. Proti, TA projektā noteikts, ka finansējuma saņēmējs, pirms maksājuma pieprasījuma iesniegšanas, veic pēcpārbaudi par pakalpojuma sniedzēju veikto TA projekta mērķa grupas  – NVA nodarbinātie, atbilstības pārbaudi dalībai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pieprasījumos noteiktās informācijas ievadi vadības informācijas sistēmā nosaka noteikumi Nr.135, savukārt MK 2022. gada 13. decembra noteikumos Nr. 770 “Kārtība, kādā Eiropas Savienības fondu 2021.–2027. gada plānošanas periodā nodrošina ieguldījumu uzraudzību un izvērtēšanu, kā arī izstrādā un uztur Kohēzijas politikas fondu vadības informācijas sistēmu” (turpmāk – MK noteikumi Nr. 770) [12] norādīts, ka vadības informācijas sistēma nodrošina Eiropas Savienības fondu īstenošanai un vadībai nepieciešamo datu uzkrāšanu un pieejamību, kā arī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finansējuma saņēmēju (NVA), veicot personas datu apstrādes darbības, TA projektā un anotācijā netiek dublēti ar personas datu apstrādi saistītie jautājumi, pamatojoties uz MK 2009. gada 3. februāra noteikumu Nr.108 “Normatīvo aktu projektu sagatavošanas noteikumi” [13] 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NVA un, ja tiek piesaistīti pakalpojumu sniedzēji, pakalpojuma sniedzēji TA projekta 13.1. apakšpunktā minētās atbalstāmās darbības īstenošanai veic TA projekta 3. punktā norādītās mērķa grupas – NVA nodarbināto, identificēšanu un  uzskaiti projekta īstenošanas un maksājumu pieprasījumu sagatavošanas nolūkā, norādot vārdu, uzvārdu, e-pasta adresi (saziņai), personas kodu un citu personas datus nesaturošu informāciju, kas nepieciešama maksājuma pieprasījuma sagatavošanai, un iesniedz finansējuma saņēmējam (ja piesaistīts pakalpojumu sniedzējs). Dalībnieku uzskaite ir nepieciešama, lai NVA un pakalpojuma sniedzējs, ja tāds ticis piesaistīts, pierādītu, ka attiecīgais pasākums faktiski ir noticis un tajā ir piedalījušās atbilstošās mērķa grupas personas, un NVA kā finansējuma saņēmējs spētu nodrošināt maksājuma pieprasījumā iekļaujamās informācijas pamatotību. TA projekta 3. apakšpunktā minētās mērķa grupas – NVA nodarbinātie, identificēšanai apstrādājams vārds, uzvārds, darba vietas e-pasts (saziņai), personas kods, lai varētu identificēt konkrētu NVA nodarbināto un pārliecināties par tā atbilstību dalībai pasākumā. Personas kods ir apstrādājams, lai veiktu unikālu fizisko personu identifikāciju, tā kā atbilstoši Fizisko personu reģistra likuma 6. panta pirmajai un otrajai daļai personas kods ir atzīstams par unikālu identifikatoru, kas ļauj nepārprotami identificēt konkrētu tiesību subjektu. Tādējādi atzīstams, ka apstrādājamais personas datu apjoms ir uzskatāms par minimāli nepieciešamo iepriekš minētā personas datu apstrādes nolūka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vai pakalpojumu sniedzēji iepriekš minēto datu subjektu personas datu apstrādi veiks uz TA projekta 20. punkta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NVA EURES pakalpojumu īstenošanas nolūkā veiks TA projekta 3. punktā norādītās mērķa grupas – darba meklētāju un bezdarbnieku (NVA klientu) identificēšanu un  uzskaiti, apstrādājot personas datus tādā apjomā, kāds ir noteikts MK 2017. gada 28. marta noteikumu Nr. 172 “Bezdarbnieku uzskaites un reģistrēto vakanču informācijas sistēmas noteikumi” (turpmāk – MK noteikumiem Nr.172) 6.1., 6.3. apakšpunktā un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uzskaite ir nepieciešama, lai pierādītu, ka attiecīgais pasākums faktiski ir noticis un tajā ir piedalījušās atbilstošās mērķa grupas personas. Dati par mērķa grupas dalību projekta atbalstāmajās darbībās tiks uzglabāti bezdarbnieku uzskaites un reģistrēto vakanču informācijas sistēmā (turpmāk – IS BURVIS), atbilstoši kārtībai un nosacījumiem, kas ir atrunāti MK noteikumos Nr.172. Apstrādājamais mērķa grupas personas datu apjoms tās identificēšanai un uzskaitei ir jau noteikts MK noteikumu Nr.172 6.1., 6.3. apakšpunktā un 7. punktā. Tādējādi to nepieciešamības un atbilstības minimalitātes principam izvērtējums netiek veikts, jo tas jau ir izdarīts, pieņemot MK noteikumus Nr.172 daļā par datu par bezdarbnieku un darba meklētāju iekļaušanu reģistrā (IS BURVIS). Mērķa grupas personas, kuras ir NVA klienti, dalībai EURES pasākumos NVA piesaistīs, izmantojot IS BURVIS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TA projekta 13.2. apakšpunktā minētos pasākumus, personām, kuras nav reģistrētas NVA (nav NVA klienti – bezdarbnieki un darba meklētāji), netiks veikta personas datu apstrāde. NVA vai pakalpojuma sniedzējs (ja pasākumu īsteno NVA piesaistīts pakalpojumu sniedzējs) fiksēs tikai dalībnieku statistisko informāciju, TA projekta 21.11. apakšpunktā noteiktā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21.8. apakšpunktā paredzēts, ka finansējuma saņēmējs uzkrāj datus par horizontālā principa “Vienlīdzība, iekļaušana, nediskriminācija un pamattiesību ievērošana” (HP VINPI) rādītājiem, kas neparedz datu subjektu personas datu apstrādi Regulas Nr.2016/679 [14] 4. panta 2. punkta izpratnē, jo dati tiks uzkrāti statistikas veidā bez datu subjektu identificējošās informācijas. Dati tiks uzkrāti, lai nodrošinātu HP VINPI darbību īstenošanu praksē un to izpildes uzraudzību, kas ļauj novērtēt katra specifiskā atbalsta mērķa  ietvaros īstenotā projekta ietekmi  HP VINPI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arī, ka finansējuma saņēmējs projekta īstenošanas ietvaros var veikt iepirkumus, kur arī tiks veikta personas datu apstrāde iepirkumu organizēšanas un iepirkumu līgumu noslēgšanas nolūkā. Minētā personas datu apstrāde tiks veikta atbilstoši Regulas Nr.2016/679 6. panta 1. punkta b) un e) apakšpunktam un PIL 9. panta ceturtajai daļai, 44., 45. un 46. pantam. Iepirkumu procesa organizēšanas un administrēšanas nolūkā tiks apstrādāti datu subjektu identitātes dati (vārds, uzvārds), adrese, e-pasts, telefona numurs, informācija par pretendentu personāla vai pieaicināto speciālistu tehniskām un profesionālām spējām (pieredze, izglītība, zināšanas, kvalifikācija, amats) un to apliecinoši dokumenti, datu subjektu sniegtā cita informācija, izpildot iepirkuma nolikumā noteiktās prasības. PIL nosaka noteiktu personas datu apjomu, kuru finansējuma saņēmējam kā pasūtītājam ir tiesības apstrādāt, savukārt iepirkuma dalībniekiem pienākums sniegt. Personas datu nesniegšanas vai sniegšanas nepilnā apjomā gadījumā tiks liegta iespēja piedalīties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projekta vadībā un īstenošanā iesaistītajam personālam un iepirkumu līgumu izpildītājam ir pienākums parakstīt apliecinājumus par interešu konflikta neesamību saskaņā ar Regulas Nr. 2018/1046 61. pantu un publisko iepirkumu regulējošiem normatīviem aktiem. Apliecinājuma ieguves ietvaros tiks veikta personas datu apstrāde, ko tieši paredz iepriekš minētie normatīvie akti saskaņā ar Regulas Nr.2016/679 6. panta 1. punkta c) apakšpunktu. Turklāt Eiropas Komisija vadlīniju “Interešu konfliktu identificēšana publiskā iepirkuma procedūrās strukturālu darbību veikšanai” 1.pielikumā ir sniegusi norādes par tā saturu, tai skaitā apstrādājamo datu apjomu, kas atzīstams par minimāli nepieciešamo (https://m.esfondi.lv/upload/00-vadlinijas/EK_vadl_par_interesu_konflikta_identif_publ_iepirk_LV.pdf).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20. punkts un 21.9. apakšpunkts paredz, ka NVA veic mērķa grupas personas datu apstrādi, lai izvērtētu personu atbilstību mērķa grupas kritērijiem. Minētā personas datu apstrāde ir obligāti nepieciešama, jo projekts ir paredzēts tieši mērķa grupas personām, tādējādi ir nepieciešams pārbaudīt, vai persona atbilst izvirzītajiem kritērijiem, kuriem iestājoties, persona var saņemt TA projekta paredzēto atbalstu. Neveicot personas datu apstrādi, NVA nespēs izvērtēt personas atbilstību izvirzītajiem mērķa grupas kritērijiem, bet persona saņemt TA projektā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attaisnojuma dokumentu glabāšanas minimāliem termiņiem. Grāmatvedības likuma 28. panta 5. punkts nosaka, ka attaisnojuma dokumenti glabājami līdz dienai, kad tie nepieciešami, lai izpildītu likuma 6. panta otrās daļas prasības par saimnieciskā darījuma norises izsekojamību, bet ne īsāku laiku par pieciem gadiem. PIL 40. panta piektā daļa noteic, ka iepirkumu pieteikumu un piedāvājumu oriģinālus glabā 10 gadus pēc iepirkuma līguma noslēgšanas. Tādējādi, ņemot vērā normatīvajos aktos noteiktos termiņus, 4.3.3.4. pasākuma mērķa grupas personas datu glabāšanas termiņš nosakāms atbilstoši Regulas Nr. 2021/1060 82. punkta prasībām, t.i., dokumentus par ES fondu atbalstītajiem izdevumiem glabā līdz 2034. gada 31. decembrim, lai pierādītu maksājumu veikšanas un finanšu izlietojuma pamatotību. Savukārt KPVIS personas dati atbilstoši MK noteikumu Nr. 770 27. punktam glabājami līdz 2039.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Pieejams: https://likumi.lv/ta/id/338014-kartiba-kada-eiropas-savienibas-fondu-2021-2027-gada-planosanas-perioda-nodrosina-ieguldijumu-uzraudzibu-un-izvertesanu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Pieejams: https://likumi.lv/ta/id/187822-normativo-aktu-projektu-sagatavosanas-noteikumi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Parlamenta un Padomes 2016. gada 27. aprīļa regula (ES) Nr. 2016/679 par fizisku personu aizsardzību attiecībā uz personas datu apstrādi un šādu datu brīvu apriti un ar ko atceļ Direktīvu 95/46/EK (Vispārīgā datu aizsardzības regula)  (turpmāk – Regula Nr.2016/679); pieejams: https://eur-lex.europa.eu/legal-content/LV/TXT/?uri=celex%3A32016R0679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EURES tīkla darbību īstenošana palīdzēs atgriezties Latvijā valstspiederīgajiem, kuri dzīvo un strādā ārpus tās, veicinās remigrāciju un paplašinās diasporas nodarbinātības iespējas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pasākumam ir netieša pozitīva ietekme uz horizontālo principu “Vienlīdzība, iekļaušana, nediskriminācija un pamattiesību ievērošana”. Savukārt uz horizontālajiem principiem “Klimatdrošināšana”, “Energoefektivitāte pirmajā vietā” un “Nenodarīt būtisku kaitējumu” 4.3.3.4.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projekta ietvaros tiks īstenotas darbības, kas veicina vienlīdzību, iekļaušanu, nediskrimināciju un pamattiesību ievērošanu, kā arī tā vadībā un īstenošanā tiks īstenoti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pasākums tiks īstenots ierobežotas projektu iesniegumu atlases veidā, tā projekta iesnieguma vērtēšanā tiks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nodrošinās, ka publiskie iepirkumi tiek veikti saskaņā ar normatīvajiem aktiem publisko iepirkumu jomā, īstenojot konkurenci nodrošinošu, pārredzamu, atklātu, nediskriminējošu konkursa procedūru un, kur tas ir attiecināms, īstenojot sociāli atbildīgus un inovatīvus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4.3.3.4. pasākuma ietekmes uz HP VINPI īstenošanu novērtēšanai TA projektā ir noteikti HP VINPI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22-TA-3686</w:t>
    </w:r>
    <w:r>
      <w:br/>
    </w:r>
    <w:r w:rsidR="00000000" w:rsidRPr="00000000" w:rsidDel="00000000">
      <w:rPr>
        <w:rtl w:val="0"/>
      </w:rPr>
      <w:t xml:space="preserve">Izdrukāts 29.07.2026. 22.47 - 5.0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22-TA-3686</w:t>
    </w:r>
    <w:r>
      <w:br/>
    </w:r>
    <w:r w:rsidR="00000000" w:rsidRPr="00000000" w:rsidDel="00000000">
      <w:rPr>
        <w:rtl w:val="0"/>
      </w:rPr>
      <w:t xml:space="preserve">Izdrukāts 29.07.2026. 22.47 - 5.0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anotācija_(ex_ante)_22-TA-3686.docx</dc:title>
</cp:coreProperties>
</file>

<file path=docProps/custom.xml><?xml version="1.0" encoding="utf-8"?>
<Properties xmlns="http://schemas.openxmlformats.org/officeDocument/2006/custom-properties" xmlns:vt="http://schemas.openxmlformats.org/officeDocument/2006/docPropsVTypes"/>
</file>