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29. janvāra noteikumos Nr. 63 "Kārtība, kādā veic brucelozes profilakses un apkarošanas pasākumus cūkām""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septembra rīkojums Nr. 743 "Par Lauksaimniecības datu centra likvidāciju" (turpmāk – rīkojums Nr. 743).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9. marta Regula (ES) 2016/429 par pārnēsājamām dzīvnieku slimībām un ar ko groza un atceļ konkrētus aktus dzīvnieku veselības jomā ("Dzīvnieku veselības tiesību akts") (turpmāk – regula 2016/429).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2019. gada 17. decembra Deleģētā regula (ES) 2020/688, ar ko attiecībā uz dzīvnieku veselības prasībām, kuras reglamentē sauszemes dzīvnieku un inkubējamu olu pārvietošanu Savienībā, papildina Eiropas Parlamenta un Padomes Regulu (ES) 2016/429 (turpmāk – regula 2020/688).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2020. gada 30. janvāra Deleģētā regula (ES) 2020/692, ar ko attiecībā uz noteikumiem par noteiktu dzīvnieku, reproduktīvo produktu un dzīvnieku izcelsmes produktu sūtījumu ievešanu Savienībā, to pārvietošanu un rīkošanos ar tiem pēc ievešanas papildina Eiropas Parlamenta un Padomes Regulu (ES) 2016/429 (turpmāk – regula 2020/692).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2019. gada 17. decembra Deleģētā regula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 (turpmāk – regula 2020/686).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Lauksaimniecības datu centra (turpmāk – datu centrs) likvidāciju un tā līdzšinējo funkciju un valsts pārvaldes uzdevumu nodošanu Lauku atbalsta dienestam (turpmāk – LAD), tostarp lauksaimniecības dzīvnieku, ganāmpulku un novietņu reģistrācijas, datubāzu un reģistru uzturēšanas jomā, kā arī lai nodrošinātu atbilstību Eiropas Savienības tieši piemērojamiem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2. punktā noteikts, ka LAD ar 2025. gada 1. janvāri ir datu centra funkciju, pārvaldes uzdevumu, tiesību, saistību, finanšu līdzekļu, bilancē esošās kustamās mantas, lietvedības un nepieciešamā apjoma personāla resursu pārņēmējs.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Nr. 743 1. punktā ir noteikts, ka datu centrs tiek likvidēts un līdz 2025. gada 1. janvārim rīkojuma 2. punktā minētie valsts pārvaldes uzdevumi jānodod LAD. LAD pārziņā būs arī rīkojuma Nr. 743 2.1. apakšpunktā minētā lauksaimniecības un zivsaimniecības nozares informācijas sistēmu pārvaldība – datubāzu un reģistru uzturēšana un attīstība, tostarp saskarnes izveide datu apmaiņai ar ārējām sistēmām un nozares koplietošanas informācijas un komunikāciju tehnoloģiju infrastruktūras uzturēšana, kā arī rīkojuma Nr. 743 2.2. apakšpunktā minēto dzīvnieku novietņu un dzīvnieku reģistrēšana, identifikācija un izsekojamības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2025. gadam pavadošo likumprojektu paketē (1. lasījums)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Lauku atbalsta dienesta likumā" (720/Lp14);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Veterinārmedicīnas likumā" (721/Lp14);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Dzīvnieku audzēšanas un ciltsdarba likumā" (722/Lp14);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"Grozījums Dzīvnieku barības aprites likumā" (723/Lp14).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2013. gada 29. janvāra noteikumu Nr. 63 "Kārtība, kādā veic brucelozes profilakses un apkarošanas pasākumus cūkām" (turpmāk – noteikumi Nr. 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2.7. apakšpunkts noteic, ka novietne ir telpa, celtne, teritorija vai tās daļa vai iežogota platība (izņemot kautuvi), kura ir reģistrēta datu centra datubāzē un kurā audzē vai tur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12.1. apakšpunkts paredz valsts zinātniskajam institūta "Pārtikas drošības, dzīvnieku veselības un vides zinātniskais institūts "BIOR"" (turpmāk – BIOR) pienākumu brucelozes laboratorisko izmeklējumu rezultātus nosūtīt datu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21. punkts noteic, ka Pārtikas un veterinārais dienests (turpmāk – PVD) no brucelozes oficiāli brīvas novietnes statusu reģistrē datu centra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22. punkts paredz datu centra pienākumu savā tīmekļvietnē uzturēt aktuālo sarakstu par novietnēm, kurām piešķirts un saglabāts no brucelozes oficiāli brīvas novietnes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27.2. apakšpunktā noteikts kritērijs novietnes statusa atcelšanai, ja dzīvnieki nav reģistrēti datu centra datubāzē un to pārvietošana nav notikusi atbilstoši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 pielikums paredz, ka dzīvnieku īpašnieks vai turētājs iesniegumā no brucelozes oficiāli brīvas novietnes statusa piešķiršanai norāda datu centra reģistrā piešķirto ganāmpulka un novietnes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Nr. 63 ir dotas atsauces uz Eiropas Savienības tieši piemērojamiem tiesību aktiem, kas jāievēro dzīvnieku īpašniekam vai turētājam, ievedot novietnē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w:t>
      </w:r>
      <w:r w:rsidR="00000000" w:rsidRPr="00000000" w:rsidDel="00000000">
        <w:rPr>
          <w:vertAlign w:val="superscript"/>
          <w:rtl w:val="0"/>
        </w:rPr>
        <w:t xml:space="preserve">2</w:t>
      </w:r>
      <w:r w:rsidR="00000000" w:rsidRPr="00000000" w:rsidDel="00000000">
        <w:rPr>
          <w:rtl w:val="0"/>
        </w:rPr>
        <w:t xml:space="preserve">1.2. un 26.1.2. apakšpunktā – uz Komisijas 2010. gada 12. marta Regulu (ES) Nr. 206/2010, ar ko izveido sarakstus, kuros iekļautas trešās valstis, to teritorijas vai daļas, no kurām Eiropas Savienībā atļauts ievest konkrētus dzīvniekus un svaigu gaļu, un nosaka veterinārās sertifikācijas prasības (turpmāk – regula 206/2010);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w:t>
      </w:r>
      <w:r w:rsidR="00000000" w:rsidRPr="00000000" w:rsidDel="00000000">
        <w:rPr>
          <w:vertAlign w:val="superscript"/>
          <w:rtl w:val="0"/>
        </w:rPr>
        <w:t xml:space="preserve">2</w:t>
      </w:r>
      <w:r w:rsidR="00000000" w:rsidRPr="00000000" w:rsidDel="00000000">
        <w:rPr>
          <w:rtl w:val="0"/>
        </w:rPr>
        <w:t xml:space="preserve">1.3. apakšpunktā, 19.</w:t>
      </w:r>
      <w:r w:rsidR="00000000" w:rsidRPr="00000000" w:rsidDel="00000000">
        <w:rPr>
          <w:vertAlign w:val="superscript"/>
          <w:rtl w:val="0"/>
        </w:rPr>
        <w:t xml:space="preserve">3</w:t>
      </w:r>
      <w:r w:rsidR="00000000" w:rsidRPr="00000000" w:rsidDel="00000000">
        <w:rPr>
          <w:rtl w:val="0"/>
        </w:rPr>
        <w:t xml:space="preserve"> punktā, 24.2. un 26.1.3. apakšpunktā, 26.</w:t>
      </w:r>
      <w:r w:rsidR="00000000" w:rsidRPr="00000000" w:rsidDel="00000000">
        <w:rPr>
          <w:vertAlign w:val="superscript"/>
          <w:rtl w:val="0"/>
        </w:rPr>
        <w:t xml:space="preserve">1</w:t>
      </w:r>
      <w:r w:rsidR="00000000" w:rsidRPr="00000000" w:rsidDel="00000000">
        <w:rPr>
          <w:rtl w:val="0"/>
        </w:rPr>
        <w:t xml:space="preserve"> punktā un 28.</w:t>
      </w:r>
      <w:r w:rsidR="00000000" w:rsidRPr="00000000" w:rsidDel="00000000">
        <w:rPr>
          <w:vertAlign w:val="superscript"/>
          <w:rtl w:val="0"/>
        </w:rPr>
        <w:t xml:space="preserve">1</w:t>
      </w:r>
      <w:r w:rsidR="00000000" w:rsidRPr="00000000" w:rsidDel="00000000">
        <w:rPr>
          <w:rtl w:val="0"/>
        </w:rPr>
        <w:t xml:space="preserve">1. apakšpunktā – uz Komisijas 2012. gada 1. marta Īstenošanas Regulu (ES) Nr. 176/2012, ar ko groza B, C un D pielikumu Padomes Direktīvā 90/429/EEK par dzīvnieku veselības prasībām attiecībā uz brucelozi un Aujeski slimību (turpmāk – regula 176/2012).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attiecīgo tiesību normu regulējumu, aizstājot vārdus "Lauksaimniecības datu centrs" (saīsināti "datu centrs") ar vārdiem "Lauku atbalsta dienests". Vienlaikus jāprecizē noteikumu Nr. 63 2.7. apakšpunktā, 21. punktā un 27.2. apakšpunktā lietotais termins "datubāze", lai nodrošinātu atbilstību jomu reglamentējošajos normatīvajos aktos lietotajiem terminiem, un būtu minēts reģistra pilnais nosaukums, t. i., lauksaimniecības dzīvnieku, ganāmpulku un novietņu reģistrs.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noteikumu Nr. 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2.7. un 27.2. apakšpunktu, 21. un 22. punktu, nosakot, ka turpmāk no brucelozes oficiāli brīvas novietnes statuss tiks reģistrēts LAD lauksaimniecības dzīvnieku, ganāmpulku un novietņu reģistrā un aktuālais saraksts par novietnēm, kurām piešķirts un saglabāts no brucelozes oficiāli brīvas novietnes statuss, tiks uzturēts LAD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12.1. apakšpunktu, nosakot, ka turpmāk laboratorisko izmeklējumu rezultātus BIOR nosūtīs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27.2. apakšpunktā noteikto kritēriju novietnes statusa atcelšanai, paredzot, ka PVD statusu atcels, ja dzīvnieki nebūs reģistrēti LAD lauksaimniecības dzīvnieku, ganāmpulku un novietņu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 pielikumu, paredzot, ka iesniegumā no brucelozes oficiāli brīvas novietnes statusa piešķiršanai dzīvnieku īpašnieks vai turētājs norādīs LAD reģistrā piešķirto ganāmpulka un novietnes reģistrācijas numuru.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stājusies spēkā regula 2016/429, regula 2020/688, regula 2020/686 un regula 2020/692, kas reglamentē dzīvnieku pārvietošanu Savienībā, kā arī to ievešanu Savienībā no trešajām valstīm. Savukārt Komisijas 2010. gada 12. marta Regula (ES) Nr. 206/2010, ar ko izveido sarakstus, kuros iekļautas trešās valstis, to teritorijas vai daļas, no kurām Eiropas Savienībā atļauts ievest konkrētus dzīvniekus un svaigu gaļu, un nosaka veterinārās sertifikācijas prasības, uz kuru dota atsauce noteikumu Nr. 63 19.</w:t>
      </w:r>
      <w:r w:rsidR="00000000" w:rsidRPr="00000000" w:rsidDel="00000000">
        <w:rPr>
          <w:vertAlign w:val="superscript"/>
          <w:rtl w:val="0"/>
        </w:rPr>
        <w:t xml:space="preserve">2</w:t>
      </w:r>
      <w:r w:rsidR="00000000" w:rsidRPr="00000000" w:rsidDel="00000000">
        <w:rPr>
          <w:rtl w:val="0"/>
        </w:rPr>
        <w:t xml:space="preserve">1.2. un 26.1.2. apakšpunktā, ir zaudējusi spēku (atcelta ar regulu 2020/692) un tajā reglamentētie jautājumi noteikti regulā 2016/429, regulā 2020/688 un regulā 2020/692.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2012. gada 1. marta Īstenošanas regula (ES) Nr. 176/2012, ar ko groza B, C un D pielikumu Padomes Direktīvā 90/429/EEK par dzīvnieku veselības prasībām attiecībā uz brucelozi un Aujeski slimību, uz kuru dota atsauce noteikumu Nr. 63 19.</w:t>
      </w:r>
      <w:r w:rsidR="00000000" w:rsidRPr="00000000" w:rsidDel="00000000">
        <w:rPr>
          <w:vertAlign w:val="superscript"/>
          <w:rtl w:val="0"/>
        </w:rPr>
        <w:t xml:space="preserve">2</w:t>
      </w:r>
      <w:r w:rsidR="00000000" w:rsidRPr="00000000" w:rsidDel="00000000">
        <w:rPr>
          <w:rtl w:val="0"/>
        </w:rPr>
        <w:t xml:space="preserve">1.3. apakšpunktā, 19.</w:t>
      </w:r>
      <w:r w:rsidR="00000000" w:rsidRPr="00000000" w:rsidDel="00000000">
        <w:rPr>
          <w:vertAlign w:val="superscript"/>
          <w:rtl w:val="0"/>
        </w:rPr>
        <w:t xml:space="preserve">3</w:t>
      </w:r>
      <w:r w:rsidR="00000000" w:rsidRPr="00000000" w:rsidDel="00000000">
        <w:rPr>
          <w:rtl w:val="0"/>
        </w:rPr>
        <w:t xml:space="preserve"> punktā, 24.2. un 26.1.3. apakšpunktā, 26.</w:t>
      </w:r>
      <w:r w:rsidR="00000000" w:rsidRPr="00000000" w:rsidDel="00000000">
        <w:rPr>
          <w:vertAlign w:val="superscript"/>
          <w:rtl w:val="0"/>
        </w:rPr>
        <w:t xml:space="preserve">1 </w:t>
      </w:r>
      <w:r w:rsidR="00000000" w:rsidRPr="00000000" w:rsidDel="00000000">
        <w:rPr>
          <w:rtl w:val="0"/>
        </w:rPr>
        <w:t xml:space="preserve">punktā un 28.</w:t>
      </w:r>
      <w:r w:rsidR="00000000" w:rsidRPr="00000000" w:rsidDel="00000000">
        <w:rPr>
          <w:vertAlign w:val="superscript"/>
          <w:rtl w:val="0"/>
        </w:rPr>
        <w:t xml:space="preserve">1</w:t>
      </w:r>
      <w:r w:rsidR="00000000" w:rsidRPr="00000000" w:rsidDel="00000000">
        <w:rPr>
          <w:rtl w:val="0"/>
        </w:rPr>
        <w:t xml:space="preserve">1. apakšpunktā, ir atcelta ar regulu 2016/429 un aizstāta ar regulu 2020/686.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noteikumu Nr. 63, nosakot, ka dzīvniekus ieved novietnē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2016/429 127. un 229. pantā noteiktajām prasībām, papildinot noteikumus Nr. 63 ar 19.</w:t>
      </w:r>
      <w:r w:rsidR="00000000" w:rsidRPr="00000000" w:rsidDel="00000000">
        <w:rPr>
          <w:vertAlign w:val="superscript"/>
          <w:rtl w:val="0"/>
        </w:rPr>
        <w:t xml:space="preserve">2</w:t>
      </w:r>
      <w:r w:rsidR="00000000" w:rsidRPr="00000000" w:rsidDel="00000000">
        <w:rPr>
          <w:rtl w:val="0"/>
        </w:rPr>
        <w:t xml:space="preserve">2.1., 19.</w:t>
      </w:r>
      <w:r w:rsidR="00000000" w:rsidRPr="00000000" w:rsidDel="00000000">
        <w:rPr>
          <w:vertAlign w:val="superscript"/>
          <w:rtl w:val="0"/>
        </w:rPr>
        <w:t xml:space="preserve">2</w:t>
      </w:r>
      <w:r w:rsidR="00000000" w:rsidRPr="00000000" w:rsidDel="00000000">
        <w:rPr>
          <w:rtl w:val="0"/>
        </w:rPr>
        <w:t xml:space="preserve">3.1., 26.2.1. un 26.3.1.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regulu 2020/688, papildinot noteikumus Nr. 63 ar 19.</w:t>
      </w:r>
      <w:r w:rsidR="00000000" w:rsidRPr="00000000" w:rsidDel="00000000">
        <w:rPr>
          <w:vertAlign w:val="superscript"/>
          <w:rtl w:val="0"/>
        </w:rPr>
        <w:t xml:space="preserve">2</w:t>
      </w:r>
      <w:r w:rsidR="00000000" w:rsidRPr="00000000" w:rsidDel="00000000">
        <w:rPr>
          <w:rtl w:val="0"/>
        </w:rPr>
        <w:t xml:space="preserve">2.2. un 26.2.2.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regulu 2020/692, papildinot noteikumus Nr. 63 ar 19.</w:t>
      </w:r>
      <w:r w:rsidR="00000000" w:rsidRPr="00000000" w:rsidDel="00000000">
        <w:rPr>
          <w:vertAlign w:val="superscript"/>
          <w:rtl w:val="0"/>
        </w:rPr>
        <w:t xml:space="preserve">2</w:t>
      </w:r>
      <w:r w:rsidR="00000000" w:rsidRPr="00000000" w:rsidDel="00000000">
        <w:rPr>
          <w:rtl w:val="0"/>
        </w:rPr>
        <w:t xml:space="preserve">3.2. un 26.3.2.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regulu 2020/686, precizējot un papildinot noteikumus Nr. 63 ar 19.</w:t>
      </w:r>
      <w:r w:rsidR="00000000" w:rsidRPr="00000000" w:rsidDel="00000000">
        <w:rPr>
          <w:vertAlign w:val="superscript"/>
          <w:rtl w:val="0"/>
        </w:rPr>
        <w:t xml:space="preserve">2</w:t>
      </w:r>
      <w:r w:rsidR="00000000" w:rsidRPr="00000000" w:rsidDel="00000000">
        <w:rPr>
          <w:rtl w:val="0"/>
        </w:rPr>
        <w:t xml:space="preserve">2.3. apakšpunktu, 19.</w:t>
      </w:r>
      <w:r w:rsidR="00000000" w:rsidRPr="00000000" w:rsidDel="00000000">
        <w:rPr>
          <w:vertAlign w:val="superscript"/>
          <w:rtl w:val="0"/>
        </w:rPr>
        <w:t xml:space="preserve">3 </w:t>
      </w:r>
      <w:r w:rsidR="00000000" w:rsidRPr="00000000" w:rsidDel="00000000">
        <w:rPr>
          <w:rtl w:val="0"/>
        </w:rPr>
        <w:t xml:space="preserve">punktu, 24.2. un 26.2.3. apakšpunktu, 26.</w:t>
      </w:r>
      <w:r w:rsidR="00000000" w:rsidRPr="00000000" w:rsidDel="00000000">
        <w:rPr>
          <w:vertAlign w:val="superscript"/>
          <w:rtl w:val="0"/>
        </w:rPr>
        <w:t xml:space="preserve">1</w:t>
      </w:r>
      <w:r w:rsidR="00000000" w:rsidRPr="00000000" w:rsidDel="00000000">
        <w:rPr>
          <w:rtl w:val="0"/>
        </w:rPr>
        <w:t xml:space="preserve"> punktu un 28.</w:t>
      </w:r>
      <w:r w:rsidR="00000000" w:rsidRPr="00000000" w:rsidDel="00000000">
        <w:rPr>
          <w:vertAlign w:val="superscript"/>
          <w:rtl w:val="0"/>
        </w:rPr>
        <w:t xml:space="preserve">1</w:t>
      </w:r>
      <w:r w:rsidR="00000000" w:rsidRPr="00000000" w:rsidDel="00000000">
        <w:rPr>
          <w:rtl w:val="0"/>
        </w:rPr>
        <w:t xml:space="preserve">1.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cūku sugas dzīvnieku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noteikto no brucelozes oficiāli brīvas novietnes statusu PVD turpmāk reģistrēs LAD uzturētā lauksaimniecības dzīvnieku novietņu reģistrā, un LAD savā tīmekļvietnē uzturēs aktuālo informāciju par novietnēm, kurām piešķirts un saglabāts no brucelozes oficiāli brīvas novietnes statuss. LAD arī turpinās sniegt datu centra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cūku sugas dzīvnieku īpašnieki un turētāji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noteikto no brucelozes oficiāli brīvas novietnes statusu PVD turpmāk reģistrēs LAD uzturētā lauksaimniecības dzīvnieku novietņu reģistrā, un LAD savā tīmekļvietnē uzturēs aktuālo informāciju par novietnēm, kurām piešķirts un saglabāts no brucelozes oficiāli brīvas novietnes statuss. LAD arī turpinās sniegt datu centra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32016R0429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9. marta Regula (ES) 2016/429 par pārnēsājamām dzīvnieku slimībām un ar ko groza un atceļ konkrētus aktus dzīvnieku veselības jomā ("Dzīvnieku veselības tiesību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32020R0688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17. decembra Deleģētā regula (ES) 2020/688, ar ko attiecībā uz dzīvnieku veselības prasībām, kuras reglamentē sauszemes dzīvnieku un inkubējamu olu pārvietošanu Savienībā,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32020R0692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30. janvāra Deleģētā regula (ES) 2020/692, ar ko attiecībā uz noteikumiem par noteiktu dzīvnieku, reproduktīvo produktu un dzīvnieku izcelsmes produktu sūtījumu ievešanu Savienībā, to pārvietošanu un rīkošanos ar tiem pēc ievešanas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32020R0686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 gada 17. decembra Deleģētā regula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9. marta Regula (ES) 2016/429 par pārnēsājamām dzīvnieku slimībām un ar ko groza un atceļ konkrētus aktus dzīvnieku veselības jomā ("Dzīvnieku veselības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1.8. apakšpunkts (noteikumu Nr. 63 19.</w:t>
            </w:r>
            <w:r w:rsidR="00000000" w:rsidRPr="00000000" w:rsidDel="00000000">
              <w:rPr>
                <w:sz w:val="24"/>
                <w:vertAlign w:val="superscript"/>
                <w:rtl w:val="0"/>
              </w:rPr>
              <w:t xml:space="preserve">2</w:t>
            </w:r>
            <w:r w:rsidR="00000000" w:rsidRPr="00000000" w:rsidDel="00000000">
              <w:rPr>
                <w:sz w:val="24"/>
                <w:rtl w:val="0"/>
              </w:rPr>
              <w:t xml:space="preserve">2.1. un 26.2.1.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1.8. apakšpunkts (noteikumu Nr. 63 19.</w:t>
            </w:r>
            <w:r w:rsidR="00000000" w:rsidRPr="00000000" w:rsidDel="00000000">
              <w:rPr>
                <w:sz w:val="24"/>
                <w:vertAlign w:val="superscript"/>
                <w:rtl w:val="0"/>
              </w:rPr>
              <w:t xml:space="preserve">2</w:t>
            </w:r>
            <w:r w:rsidR="00000000" w:rsidRPr="00000000" w:rsidDel="00000000">
              <w:rPr>
                <w:sz w:val="24"/>
                <w:rtl w:val="0"/>
              </w:rPr>
              <w:t xml:space="preserve">3.1. un 26.3.1.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regulas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17. decembra Deleģētā regula (ES) 2020/688, ar ko attiecībā uz dzīvnieku veselības prasībām, kuras reglamentē sauszemes dzīvnieku un inkubējamu olu pārvietošanu Savienībā,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1.8. apakšpunkts (noteikumu Nr. 63 19.</w:t>
            </w:r>
            <w:r w:rsidR="00000000" w:rsidRPr="00000000" w:rsidDel="00000000">
              <w:rPr>
                <w:sz w:val="24"/>
                <w:vertAlign w:val="superscript"/>
                <w:rtl w:val="0"/>
              </w:rPr>
              <w:t xml:space="preserve">2</w:t>
            </w:r>
            <w:r w:rsidR="00000000" w:rsidRPr="00000000" w:rsidDel="00000000">
              <w:rPr>
                <w:sz w:val="24"/>
                <w:rtl w:val="0"/>
              </w:rPr>
              <w:t xml:space="preserve">2.2. un 26.2.2.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19. panta 1. punkts neparedz rīcības brīvību dalībvalstij pārņemt vai ieviest dzīvnieku pārvietošanas prasības. Regulas prasības ir tieši piemērojamas.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30. janvāra Deleģētā regula (ES) 2020/692, ar ko attiecībā uz noteikumiem par noteiktu dzīvnieku, reproduktīvo produktu un dzīvnieku izcelsmes produktu sūtījumu ievešanu Savienībā, to pārvietošanu un rīkošanos ar tiem pēc ievešanas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1.8. apakšpunkts (noteikumu Nr. 63 19.</w:t>
            </w:r>
            <w:r w:rsidR="00000000" w:rsidRPr="00000000" w:rsidDel="00000000">
              <w:rPr>
                <w:sz w:val="24"/>
                <w:vertAlign w:val="superscript"/>
                <w:rtl w:val="0"/>
              </w:rPr>
              <w:t xml:space="preserve">2</w:t>
            </w:r>
            <w:r w:rsidR="00000000" w:rsidRPr="00000000" w:rsidDel="00000000">
              <w:rPr>
                <w:sz w:val="24"/>
                <w:rtl w:val="0"/>
              </w:rPr>
              <w:t xml:space="preserve">3.2.</w:t>
            </w:r>
            <w:r w:rsidR="00000000" w:rsidRPr="00000000" w:rsidDel="00000000">
              <w:rPr>
                <w:sz w:val="24"/>
                <w:rtl w:val="0"/>
              </w:rPr>
              <w:t xml:space="preserve"> </w:t>
            </w:r>
            <w:r w:rsidR="00000000" w:rsidRPr="00000000" w:rsidDel="00000000">
              <w:rPr>
                <w:sz w:val="24"/>
                <w:rtl w:val="0"/>
              </w:rPr>
              <w:t xml:space="preserve">un 26.3.2.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1. panta 4. punkta "a" apakšpunkts neparedz rīcības brīvību dalībvalstij pārņemt vai ieviest dzīvnieku pārvietošanas prasības. Regulas prasības ir tieši piemērojamas.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 gada 17. decembra Deleģētā regula (ES) 2020/686, ar ko attiecībā uz reproduktīvo produktu objektu apstiprināšanu un izsekojamības un dzīvnieku veselības prasībām, kas jāievēro, veicot konkrētu turētu sauszemes dzīvnieku reproduktīvo produktu pārvietošanu Savienībā, papildina Eiropas Parlamenta un Padomes Regulu (ES) 2016/429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panta "a" punkta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1.4., 1.7., 1.8., 1.9. un 1.11. apakšpunkts (noteikumu Nr. 63  19.</w:t>
            </w:r>
            <w:r w:rsidR="00000000" w:rsidRPr="00000000" w:rsidDel="00000000">
              <w:rPr>
                <w:sz w:val="24"/>
                <w:vertAlign w:val="superscript"/>
                <w:rtl w:val="0"/>
              </w:rPr>
              <w:t xml:space="preserve">2</w:t>
            </w:r>
            <w:r w:rsidR="00000000" w:rsidRPr="00000000" w:rsidDel="00000000">
              <w:rPr>
                <w:sz w:val="24"/>
                <w:rtl w:val="0"/>
              </w:rPr>
              <w:t xml:space="preserve">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r w:rsidR="00000000" w:rsidRPr="00000000" w:rsidDel="00000000">
              <w:rPr>
                <w:sz w:val="24"/>
                <w:vertAlign w:val="superscript"/>
                <w:rtl w:val="0"/>
              </w:rPr>
              <w:t xml:space="preserve">3</w:t>
            </w:r>
            <w:r w:rsidR="00000000" w:rsidRPr="00000000" w:rsidDel="00000000">
              <w:rPr>
                <w:sz w:val="24"/>
                <w:rtl w:val="0"/>
              </w:rPr>
              <w:t xml:space="preserve"> punkts, 24.2. un 26.2.3. apakšpunkts, 26.</w:t>
            </w:r>
            <w:r w:rsidR="00000000" w:rsidRPr="00000000" w:rsidDel="00000000">
              <w:rPr>
                <w:sz w:val="24"/>
                <w:vertAlign w:val="superscript"/>
                <w:rtl w:val="0"/>
              </w:rPr>
              <w:t xml:space="preserve">1</w:t>
            </w:r>
            <w:r w:rsidR="00000000" w:rsidRPr="00000000" w:rsidDel="00000000">
              <w:rPr>
                <w:sz w:val="24"/>
                <w:rtl w:val="0"/>
              </w:rPr>
              <w:t xml:space="preserve"> punkts un 28.</w:t>
            </w:r>
            <w:r w:rsidR="00000000" w:rsidRPr="00000000" w:rsidDel="00000000">
              <w:rPr>
                <w:sz w:val="24"/>
                <w:vertAlign w:val="superscript"/>
                <w:rtl w:val="0"/>
              </w:rPr>
              <w:t xml:space="preserve">1</w:t>
            </w:r>
            <w:r w:rsidR="00000000" w:rsidRPr="00000000" w:rsidDel="00000000">
              <w:rPr>
                <w:sz w:val="24"/>
                <w:rtl w:val="0"/>
              </w:rPr>
              <w:t xml:space="preserve">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24. panta "a" punkta "ii" apakšpunkts neparedz rīcības brīvību dalībvalstij pārņemt vai ieviest dzīvnieku pārvietošanas prasības. Regulas prasības ir tieši piemērojamas.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datu centra likvidāciju un tā valsts pārvaldes uzdevumu nodošanu LAD pieņemts Ministru kabineta 2024. gada 10. septembra sēdē. Tā kā noteikumu projekts nodrošina rīkojumā Nr. 743 dotā uzdevuma izpildi un attiecas uz valsts pārvaldes iekšējo reorganizāciju, sabiedrības līdzdalība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likvidēts 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LAD, pārņemot datu centra līdz šim pildītos uzdevumus, tiek paplašināts pildāmo valsts pārvaldes uzdevumu daudzums.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PVD un BIOR pildāmie uzdevumi pēc būtības nemainās, bet tiek mainīta iestāde, kurā jāiesniedz vai kuras uzturētajā reģistrā jāreģistrē informācija.</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24-TA-2496</w:t>
    </w:r>
    <w:r>
      <w:br/>
    </w:r>
    <w:r w:rsidR="00000000" w:rsidRPr="00000000" w:rsidDel="00000000">
      <w:rPr>
        <w:rtl w:val="0"/>
      </w:rPr>
      <w:t xml:space="preserve">Izdrukāts 29.07.2026. 23.42 - 3.0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24-TA-2496</w:t>
    </w:r>
    <w:r>
      <w:br/>
    </w:r>
    <w:r w:rsidR="00000000" w:rsidRPr="00000000" w:rsidDel="00000000">
      <w:rPr>
        <w:rtl w:val="0"/>
      </w:rPr>
      <w:t xml:space="preserve">Izdrukāts 29.07.2026. 23.42 - 3.0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anotācija_(ex_ante)_24-TA-2496.docx</dc:title>
</cp:coreProperties>
</file>

<file path=docProps/custom.xml><?xml version="1.0" encoding="utf-8"?>
<Properties xmlns="http://schemas.openxmlformats.org/officeDocument/2006/custom-properties" xmlns:vt="http://schemas.openxmlformats.org/officeDocument/2006/docPropsVTypes"/>
</file>