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 projekts (turpmāk – Noteikumu projekts) izstrādāts, pamatojoties uz Eiropas Savienības (turpmāk - ES) fondu 2021.—2027. gada plānošanas perioda vadības likuma 19.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intensificētu ES kohēzijas politikas programmas 2021. – 2027. gadam investīciju plūsmas un veicinātu to ātrāku nonākšanu Latvijas tautsaimniecībā, Viedās administrācijas un reģionālās ministrija (turpmāk – VARAM) atbilstoši MK 2024. gada 7. maija sēdes protokollēmuma (prot. Nr. 19 28.§) 3. punktam virza Noteikumu projektu, kas paredz iespēju 2.2.1.1. pasākuma “Notekūdeņu un to dūņu apsaimniekošanas sistēmas attīstība piesārņojuma samazināšanai" (turpmāk – Pasākums) trešajā projektu iesniegumu atlases kārtā granta veidā sniegt atbalstu sabiedrisko pakalpojumu sniedzējiem ūdenssaimniecības jomā aglomerācijās, kurās ienākošā piesārņojuma slodze ir lielāka nekā 2 000 cilvēkekvivalenti (turpmāk – CE), bet mazāka par 10 000 CE.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Pasākuma trešās projektu iesniegumu atlases kārtas (turpmāk – trešā atlases kārta) īstenošanas noteikumus atbalstam notekūdeņu savākšanas un attīrīšanas infrastruktūras izveides un atjaunošanas darbībām ūdenssaimniecības pakalpojumu aglomerācijās, kurās ienākošā piesārņojuma slodze ir 2 000 - 9 999 CE.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2014.–2020. gada plānošanas perioda darbības programmas "Izaugsme un nodarbinātība" 5.3.1. specifiskā atbalsta mērķa "Attīstīt un uzlabot ūdensapgādes un kanalizācijas sistēmas pakalpojumu kvalitāti un nodrošināt pieslēgšanas iespējas" otrās atlases kārtas ietvaros sniegts atbalsts centralizēto notekūdeņu apsaimniekošanas pieslēgumu skaita palielināšanai aglomerācijās ar CE lielāku par 2 000, tādējādi veicināts arī centralizēti savākto notekūdeņu apjoms, kam jānodrošina Padomes 1991. gada 21. maija direktīvai par komunālo notekūdeņu attīrīšanu (91/271/EEK), Eiropas Parlamenta un Padomes 2024. gada 27. novembra Direktīvai (ES) 2024/3019  par komunālo notekūdeņu attīrīšanu, MK 2006. gada 2. maija noteikumiem Nr. 362 "Noteikumi par notekūdeņu dūņu un to komposta izmantošanu, monitoringu un kontroli", kā arī MK 2002. gada 22. janvāra noteikumiem Nr. 34 "Noteikumi par piesārņojošo vielu emisiju ūdenī" atbilstoša apsaimniekošanas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plānā 2021.-2027. gadam kā ieguldījumu prioritāte aglomerācijās ar CE 2 000 – 9 999, ņemot vērā aglomerāciju skaitu, kur identificētas šādas investīciju nepieciešamības, identificēta centralizētās kanalizācijas tīklu attīstība aglomerācijas ietvaros, to pārbūve un atjaunošana, kā arī dūņu apsaimniekošana, tostarp atūdeņošana un apstrāde (Notekūdeņu apsaimniekošanas investīciju plāna 2021.-2027. gadam 6.3. tabula “Ieguldījumu virzienu prioritizācijas un investīciju ieguldījumu apkopojums”, kā arī 8. pielikums “Investīciju ieguldījumu virzienu prioritizācija”).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apstrādes nepieciešamība identificēta Notekūdeņu dūņu apsaimniekošanas plānā 2024.­-2027. gadam, norādot, ka no nelielām notekūdeņu attīrīšanas iekārtām notekūdeņu dūņas izved uz lielākām iekārtām tālākai atūdeņošanai un apstrādei. Iepriekšminētajā plānā kā finansējuma avots notekūdeņu dūņu apsaimniekošanas infrastruktūras izveidei, tas ir, notekūdeņu dūņu apstrādes infrastruktūras izveidei, norādīts 2.2.1. specifiskā atbalsta mērķa finansējums. Lai gan dūņu atūdeņošana paaugstina sākotnējās apstrādes izmaksas, tiek samazināta notekūdeņu dūņu masa, palielināts sausnas apjoms un sekojoši samazinātas dūņu transportēšanas izmaksas. Saskaņā ar iepriekšminēto Notekūdeņu dūņu apsaimniekošanas plānu 2024.-2027. gadam paredzēta notekūdeņu dūņu pārstrādes centru izveide, un dūņu apstrāde to rašanās vietā pirms nogādāšanas minētajos centros nodrošinātu mazāku transportēšanas izmaksu apjomu.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Pasākuma trešās atlases kārtas īstenošanu, kas paredzētu Eiropas Reģionālās attīstības fonda (turpmāk - ERAF) finansējuma atbalstu darbību īstenošanai ūdenssaimniecības pakalpojumu aglomerācijās ar iedzīvotāju ekvivalentu (CE) no 2 000 līdz 9 999.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ņemot vērā iepriekš aprakstīto, izstrādāts ar mērķi veikt investīcijas aglomerācijās ar CE 2 000 – 9 999 infrastruktūras izbūvē, pārbūvē un atjaunošanā. Noteikumu projektā paredzēts, ka Pasākuma trešās atlases kārtas ietvaros viens projekta iesniedzējs, kas sabiedrisko pakalpojumu īsteno vairākās aglomerācijās ar CE 2 000 – 9 999, kopumā var iesniegt trīs projekta iesniegumus (vienu projekta iesniegumu par vienu ūdenssaimniecības pakalpojumu aglomerāciju). Viena finansējuma saņēmēja viena iesniegtā projekta iesnieguma attiecināmo izmaksu apmērs nepārsniedz Noteikumu projektā noteikto ERAF finansējuma apjomu, tas ir, nepārsniedz 1 500 000 </w:t>
      </w:r>
      <w:r w:rsidR="00000000" w:rsidRPr="00000000" w:rsidDel="00000000">
        <w:rPr>
          <w:i w:val="1"/>
          <w:rtl w:val="0"/>
        </w:rPr>
        <w:t xml:space="preserve">euro</w:t>
      </w:r>
      <w:r w:rsidR="00000000" w:rsidRPr="00000000" w:rsidDel="00000000">
        <w:rPr>
          <w:rtl w:val="0"/>
        </w:rPr>
        <w:t xml:space="preserve">. Vienā projekta iesniegumā var iekļaut vairākus objektus atšķirīgās adresēs, kuri atrodas vienā aglomerācijā, tādējādi sekmējot visaptverošāku projekta īstenošanu. Visas projekta īstenošanas vietas projekta iesniedzējs norāda projekta iesniegumā (sadaļā “Projekta apraksts” – “Vispārīgi”).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ietvaros nav atbalstāmi projekti tajās aglomerācijās, kas projekta iesniegumus varēja iesniegt šī pasākuma pirmās atlases kārtas ietvaros, attiecīgi, šādās aglomerācijās: Daugavpils, Rēzekne, Liepāja, Jelgava, Valmiera, Jūrmala, Tukums, Cēsis, Talsi, Ventspils, Ādaži, Ogre, Salaspils, Sigulda, Saldus, Olaine, Kuldīga, Jēkabpils, Dobele, Limbaži, Preiļi.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trešajā atlases kārtā īstenojamās darbības tieši sekmēs Eiropas Savienības stratēģijas Baltijas jūras reģionam stratēģiskā mērķa “Glābt jūru” sasniegšanu, darbību rezultātā uzlabojot notekūdeņu attīrīšanas kvalitāti un samazinot barības vielu koncentrāciju attīrītajos notekūdeņos (tostarp sekmējot Direktīvas 2024/3019 prasību izpildi), vienlaikus samazinot barības elementu (slāpekļa un fosfora) nonākšanu no punktveida piesārņojuma avota Baltijas jūrā (“Nutri” politikas plānošanas virziena 2. darbība “Samazināt barības vielu emisijas no apdzīvotām vietām un citiem punktveida avotiem”).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darbību īstenošanai plānotais ERAF finansējums ir 21 453 617 </w:t>
      </w:r>
      <w:r w:rsidR="00000000" w:rsidRPr="00000000" w:rsidDel="00000000">
        <w:rPr>
          <w:i w:val="1"/>
          <w:rtl w:val="0"/>
        </w:rPr>
        <w:t xml:space="preserve">euro</w:t>
      </w:r>
      <w:r w:rsidR="00000000" w:rsidRPr="00000000" w:rsidDel="00000000">
        <w:rPr>
          <w:rtl w:val="0"/>
        </w:rPr>
        <w:t xml:space="preserve">. ERAF finansējuma apmērs Pasākuma trešās atlases kārtas ietvaros nepārsniedz 65 procentus no projekta plānotā kopējā attiecināmā finansējuma, un līdzfinansējums ir vismaz 35 procenti no projektam plānotā kopējā attiecināmā finansējuma. Šāds investīciju atbalsta procentuālais apjoms ir  noteikts, lai veicinātu privātā finansējuma piesaisti projektu aktivitātēm un atbalstu varētu saņemtu lielāks skaits potenciālo projektu iesniedzēju.  Privātais līdzfinansējums var būt saņēmis komercdarbības atbalstu (pašvaldības galvojums, aizdevums par pazeminātām procentlikmēm) – atbalsta kumulācija jānorāda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atlases kārtas ietvaros līdz 2029. gada 31. decembrim sasniedzams šāds nacionālais rādītājs: iedzīvotāji, kuriem uzlabota sabiedrisko ūdenssaimniecības pakalpojumu efektivitāte. Nacionālā rādītāja vērtība tiek uzskatīta par sasniegtu pēc noslēguma maksājuma veikšanas, izmantojot jaunākos projekta iesniedzējam pieejamos datus par iedzīvotāju skaitu, kuriem nodrošināti centralizētās notekūdeņu apsaimniekošanas sistēmas pakalpojumi, un demogrāfisko rādītāju izmaiņu ietekmi uz vērtības izmaiņām. Projekta iesniedzējs iedzīvotāju skaita noteikšanai gan projekta iesniegumā, gan projektu noslēdzot izmanto vienu un to pašu datu avotu, piemēram, Pilsonības un migrācijas lietu pārvaldes sniegto informāciju, Centrālās statistikas pārvaldes Oficiālās statistikas portālā publicēto informāciju. Teritoriju, kuras iedzīvotājiem tiks uzlabota sabiedrisko ūdenssaimniecības pakalpojumu efektivitāte, projekta iesniegumā norāda projekta iesniedzējs, un rādītāja vērtība pirms noslēguma maksājuma veikšanas jānorāda par projekta iesniegumā pieteikto teritoriju (arī gadījumā, ja projekta īstenošanas laikā aglomerācijas robežas paplašinātas). Sasniedzamo rādītāja vērtību aprēķina projekta līmenī.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aprēķina pirms projekta iesnieguma iesniegšanas dienas, bet tā sasniegšanu pārbauda noslēguma maksājuma pieprasījuma iesniegšanas dienā (atkārtoti pārrēķinot), ņemot vērā demogrāfiskās ietekmes aspektus, tas ir, ja demogrāfisko izmaiņu dēļ, ko apstiprina jaunākie lietotie datu avota dati par aglomerācijā reģistrēto un deklarēto iedzīvotāju skaitu, aglomerācijā ir samazinājies iedzīvotāju skaits projekta noslēguma maksājuma pieprasīšanas dienā un attiecīgi samazinās arī centralizēto notekūdeņu apsaimniekošanas pakalpojumu saņēmēju skaits.  Finansējuma saņēmējs sadarbības iestādei sniedz detalizētu izvērtējumu un pamato iedzīvotāju skaita samazinājuma saistību ar faktisko centralizēto notekūdeņu apsaimniekošanas pakalpojumu saņēmēju skaita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 un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 atlases kārta plānota kā atklāts konkurss, kas nodrošina vienlīdzīgas iespējas pretendēt uz atbalstu visiem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kas pēc projekta iesnieguma apstiprināšanas ir finansējuma saņēmējs, var būt sabiedrisko ūdenssaimniecības pakalpojumu sniedzējs – pašvaldība vai tās izveidota iestāde (tai skaitā aģentūra), vai kapitālsabiedrība, kurai ar pašvaldību ir noslēgts pakalpojuma līgums par sabiedrisko ūdenssaimniecības pakalpojumu sniegšanu, finansējuma saņēmējam projekta iesniegumus iesniedzot atbilstoši apakšsadaļā “Risinājuma apraksts” noteiktajam. Pasākuma atlases kārtas ietvaros atbalsts tiek sniegts sabiedrisko ūdenssaimniecības pakalpojumu sniedzējiem vispārējas tautsaimnieciskas nozīmes pakalpojumu sniegšanas kvalitātes uzlabošanai notekūdeņu attīrīšanas un novadīšanas jomā. Ja sabiedrisko ūdenssaimniecības pakalpojumu sniegšanas teritorijā ir vairākas aglomerācijas un ar to saistītās centralizētās ūdensapgādes sistēmas, tad projekta iesniedzējs var iesniegt vairākus projekta iesniegumus, t.i. par katru aglomerāciju iesniegt atsevišķu projekta iesniegumu (nepārsniedzot 3 projekta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ir īpašuma tiesības uz nekustamo īpašumu, tai skaitā zemi un infrastruktūru, kurā tiks veiktas projektā paredzētās darbības, uz termiņu, kas nav mazāks par 30 gadiem no projekta iesnieguma iesniegšanas dienas sadarbības iestādē (īpašuma tiesības nostiprinātas zemesgrāmatā līdz pirmā maksājuma pieprasījuma iesniegšanai sadarbības iestādē). Savukārt, ja projektā paredzēta centralizētās kanalizācijas sistēmas tīklu izbūve, pārbūve un atjaunošana, spiedvadu izbūve, pārbūve vai atjaunošana, projektā iesaistītajam cita īpašnieka zemesgabalam ir noteikts apgrūtinājums. Projekta iesnieguma vērtētājam informāciju par īpašumtiesībām iespējams pārbaudīt publiskajās datubāzēs, tostarp informāciju par noteikto apgrūtinājumu izgūt no Apgrūtināto teritoriju informācijas sistēmas (ATIS).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 tai skaitā apliecinot projekta iesniedzēja interešu konflikta neesamību.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 tai skaitā apliecinot projekta iesniedzēja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investīciju veikšanu aglomerācijās ar CE 2 000 – 9 999 Notekūdeņu apsaimniekošanas investīciju plānā 2021.-2027. gadam identificēto mērķu sasniegšanā, tādēļ Pasākuma trešās atlases kārtas ietvaros tiek paredzētas šādas galvenās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kanalizācijas sistēmas tīklu izbūve, pārbūve un atjaunošana, darbībai paredzētajām izmaksām nepārsniedzot 40 procentus no projektā paredzētajām tiešajām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spiedvadu un attīrīto notekūdeņu izvadu izbūve, pārbūve un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kanalizācijas sūkņu staciju izbūve, pārbūve un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attīrīšanas iekārtu jaudas palielināšana, attīrīšanas un iekārtu darbības efektivitātes uzlabošana;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atūdeņošanas un apstrādes iekārtu izbūve, pārbūve un atjaunošana.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Atbalstāmo darbību loks norādīts arī Eiropas Savienības kohēzijas politikas programmā 2021.–2027.gadam, veicinot ieguldījumus notekūdeņu savākšanas un apstrādes infrastruktūrā: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NAI tehnoloģiju un elementu modernizācija un pielāgošana atbilstošai jaudai, attīrīšanas kvalitātei, piesārņojuma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apsaimniekošanas (apstrādes) infrastruktūras attīstība;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veco, nolietoto kanalizācijas tīklu un infrastruktūras atjaunošana un pārbūve, kā arī atbalsts jaunai infrastruktūrai pieslēgumu veicināšanai (zemāka notekūdeņu apsaimniekošanas infrastruktūras prioritāte ar limitētu ieviešanas apjomu, ievērojot jau 2014.–2020. gada plānošanas periodā veiktos ieguldījumus).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attīrīšanas efektivitātes uzlabošana ietver tehnoloģisko procesu veiktspējas pilnveidi, tostarp atjaunojot atsevišķus notekūdeņu attīrīšanas tehnoloģisko procesu elementus, piemēram, notekūdeņu tvertnes, smilšu uztvērējus, nostādinātājus, gaisa pūtējus aerācijas nodrošināšanai. Savukārt jaunu notekūdeņu attīrīšanas iekārtu izbūve atbalstāma, ja tas ir tehniski un ekonomiski pamatoti un ir būtiski iemesli, kamdēļ esošās notekūdeņu attīrīšanas iekārtas to esošajā atrašanās vietā nav iespējams pārbūvēt, bet iespējams veikt jaunu iekārtu izbūvi citā atrašanās vietā, piemēram, apsvērumi par ietekmi uz vidi, ūdensobjektu,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ieguldījumus plānots veikt tehniskajā un tehnoloģiskajā infrastruktūrā, respektīvi, būtiski neietekmējot publisko ārtelpu, nav saskatīta iespēja piemērot Jaunā Eiropas Bauhaus iniciatīvas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ir arī tādas darbības, kas saistītas ar projekta informācijas, komunikācijas un vizuālās identitātes prasību nosacījumu nodrošināšanu. Komunikācijas un vizuālās identitātes pasākumu īstenošanai izmantojamas ES fondu 2021.-2027. gada plānošanas perioda un Atveseļošanas fonda komunikācijas un dizaina vadlīnijas.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plānā 2021.-2027. gadam identificēta nepieciešamība pēc centralizētās kanalizācijas sistēmas saistītās infrastruktūras izbūves, pārbūves vai atjaunošanas, atbalstāmo darbību lokā ietverot jaunu tīklu izbūvi, vienlaikus atbalstot esošo tīklu posmu un saistītās infrastruktūras pārbūvi un atjaunošanu. Tādējādi paredzams, ka tiks veicināta aglomerācijas iedzīvotāju pievienošanās centralizētās kanalizācijas sistēmai, samazinot vides piesārņojumu, tostarp neattīrītu notekūdeņu izplūdi vidē, bet esošajos tīklos nodrošinot ne vien avāriju skaitu, bet arī infiltrācijas apjomu samazināšanu. Darbības ietvaros tiktu sekmēta lokālu, īslaicīgu piesārņojuma draudu riska novēršana, tostarp mazinot punktveida piesārņojuma risku, kas Notekūdeņu apsaimniekošanas investīciju plāna 2021.-2027. gadam 7. pielikumā “Aglomerāciju novērtējums atbilstoši izvirzītajiem kritērijiem un to apkopojuma tabula” identificēts 14 aglomerācijās ar CE 2 000 – 9 999. Notekūdeņu apsaimniekošanas investīciju plāna 2021.-2027. gadam 6. pielikumā “Aglomerācijās plānoto ieguldījumu apkopojums un to pamatotības novērtējums” identificētas plānotās nepieciešamības pēc tīklu paplašināšanas esošo aglomerāciju ietvaros, kopējam plānotajam finansējumam tīklu attīstībai aglomerācijās ar CE 2 000 – 9 999 sasniedzot 40 708 750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darbības rezultātā paredzams centralizētajā kanalizācijas sistēmā novadīto notekūdeņu daudzuma pieaugums, atbalstāma jaunu kanalizācijas sūkņu staciju izbūve, kā arī esošo staciju pārbūve vai atjaunošana papildus pārsūknēšanas jaudu nodrošināšanai, attīstot esošos tīklus aglomerāciju robežās, vienlaikus samazinot piesārņojuma riskus, ko rada neattīrītu notekūdeņu izplūde vidē. Vienlaikus atbalstāma arī tādas saistītās infrastruktūras kā spiedvadu izbūve, pārbūve vai atjaunošana, nodrošinot hidrauliskās jaudas palielinājumu atbilstoši pieaugušā notekūdeņu ieplūdes daudzuma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pēc notekūdeņu dūņu apsaimniekošanas attīstības identificēta gan Notekūdeņu apsaimniekošanas investīciju plānā 2021.-2027. gadam, gan Notekūdeņu dūņu apsaimniekošanas plānā 2024.-2027. gadam. Notekūdeņu apsaimniekošanas investīciju plāna 2021.-2027. gadam 8. pielikumā “Investīciju ieguldījumu virzienu prioritizācija” dūņu apsaimniekošanas infrastruktūras attīstība identificēta 16 aglomerācijās ar CE 2 000 – 9 999. Dūņu apsaimniekošana, ietverot to apstrādi, ir neatņemama notekūdeņu attīrīšanas procesa sastāvdaļa, jo īpaši ņemot vērā to otrreizējas izmantošanas iespējas. Tādēļ sniedzams atbalsts dūņu apsaimniekošanas sekmēšanai un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trešās atlases kārtas ietvaros plānotās atbalstāmās darbības atbilst Programmas 2.2.1. specifiskā atbalsta mērķa “Veicināt ilgtspējīgu ūdenssaimniecību” noteiktajiem intervences kodiem – 064 “Ūdens resursu apsaimniekošana un ūdens resursu saglabāšana (tostarp upju baseinu apsaimniekošana, konkrēti pasākumi, kas vērsti uz pielāgošanos klimata pārmaiņām, atkalizmantošana, noplūdes mazināšana)” un 069 “Komerciālo, rūpniecisko atkritumu apsaimniekošana: rašanās novēršanas, apjoma samazināšanas, šķirošanas, atkārtotas izmantošanas, reciklēšanas pasākumi”. Intervences koda koeficients, ar ko aprēķina atbalstu klimata pārmaiņu mērķu sasniegšanai – 40%, koeficients, ar ko aprēķina atbalstu vides mērķu sasniegšanai – 100%. Pasākuma trešās atlases kārtas ietvaros plānotās atbalstāmās darbības atbilst arī Programmas 2.2.1. specifiskā atbalsta mērķa “Veicināt ilgtspējīgu ūdenssaimniecību” noteiktajiem intervences kodam 065 "Notekūdeņu savākšana un apstrāde", kura koeficients, ar ko aprēķina atbalstu vides mērķu sasniegšanai –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2.2.2.3. pasākumu “Notekūdeņu dūņu pārstrāde” nodrošināma, ņemot vērā to, ka 2.2.2.3. pasākuma ietvaros plānotas investīcijas notekūdeņu dūņu pārstrādes nodrošināšanai – atbalsts notekūdeņu dūņu transportēšanai uz notekūdeņu dūņu pārstrādes centru un notekūdeņu dūņu pārstrādes iekārtu izveidei, savukārt 2.2.1.1. pasākuma (un trešās atlases kārtas) ietvaros plānotas investīcijas notekūdeņu dūņu apstrādes nodrošināšanai (darbības, kas ir saistītas ar notekūdeņu attīrīšanas iekārtu darbības procesiem, bet neietver dūņu pārstrādes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2.1.1.6. pasākuma otro atlases kārtu tiks nodrošināta, ņemot vērā, ka 2.1.1.6. pasākumā atbalstītas darbības, kas tieši vērstas uz ūdenssaimniecības pakalpojumā iesaistīto iekārtu energoefektivitātes paaugstināšanu, savukārt 2.2.1.1. pasākuma ietvaros darbības vērstas uz notekūdeņu attīrīšanas iekārtu darbības uzlabošanu un notekūdeņu dūņu apstrādes infrastruktūras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2.2.1.1. pasākuma pirmo atlases kārtu tiks nodrošināta, ņemot vērā, ka pirmās atlases kārtas ietvaros atbalstāmas investīcijas Latvijas Republikas ūdenssaimniecības aglomerācijās ar CE 10 000 – 100 000, turklāt Noteikumu projektā un tā anotācijā noteikts, ka trešās atlases kārtas ietvaros nav atbalstāmas investīcijas tajās aglomerācijās, kas pirmajā atlases kārtā varēja saņemt vai saņēma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pasākuma trešās kārtas ietvaros nav paredzēts atbalstīt tādas darbības kā pētniecības un attīstības, inovāciju darbības, kas atbalstāmas Eiropas Strukturālo un investīciju fondu mērķa "Eiropas teritoriālā sadarbība" (INTERREG) ietvaros, kā arī Noteikumu projektā paredzētās investīcijas nav nodrošināmas LIFE programmas ietvaros, ņemot vērā, ka darbību īstenošanas rezultātā netiktu sasniegti Eiropas Parlamenta un Padomes 2021. gada 29. aprīļa Regulas (ES) 2021/783, ar ko izveido vides un klimata pasākumu programmu (LIFE) un atceļ Regulu (ES) Nr. 1293/2013 II pielikumā noteiktie iznākuma rādītāji.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plānotajām atbalstāmajām darbībām Noteikumu projektā noteikti attiecināmo izmaksu veidi, paredzot ar būvniecību saistītās izmaksas (tai skaitā būvprojekta izstrādes un uzraudzības izmaksas), arī tehnoloģisko iekārtu iegādes izmaksas. Pasākuma atlases trešajā atlases kārtā attiecināmais ERAF finansējums nepārsniedz 65 procentus no projektam plānotā kopējā attiecināmā finansējuma, un līdzfinansējums ir vismaz 35 procenti no projekta kopējā attiecināmā finansējuma. Projektu iesniegumos nav iekļaujamas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var plānot līdzekļus neparedzētiem gadījumiem vai rezerves izmaksas. Tas ir finanšu apjoms, kas var tikt plānots iepriekš neparedzamu apstākļu iestāšanās seku mazināšanai. Ņemot vērā, ka projektu ietvaros var tikt veikta arī būvniecība, Noteikumu projekts paredz, ka finansējuma saņēmējs nepieciešamības gadījumā var izmantot neparedzēto izdevumu apjomu (līdz 5 procentu apmērā no projekta kopējām attiecināmajām izmaksām) vai rezerves izmaksu apjomu (līdz 10 procentu apmērā no projekta attiecināmajām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paredzētas vienkāršotās izmaksas, jo pasākuma trešajā atlases kārtā tiek piemērots komercdarbības atbalsta regulējums sabiedrisko pakalpojumu sniedzējiem, tādējādi sekmējot administratīvā sloga 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2025. gada 1. janvāra. Pirms projekta apstiprināšanas var veikt dažādus sagatavošanās darbus projekta īstenošanai, veikt dokumentācijas izstrādi, taču, ja projekts ir pabeigts pirms projekta iesnieguma iesniegšanas sadarbības iestādē, tad projekta iesniegums tiek noraidīts. Ārpus projekta drīkst paredzēt izmaksas, kas tiešā veidā nodrošina projekta mērķa sasniegšanu, vienlaikus ievērojot Noteikumu projekta 37. punkta prasības, tas ir, visām darbībām ir jābūt pabeigtām un infrastruktūras objekti ir jābūt funkcionējošiem līdz noslēguma maksājuma pieprasījuma iesniegšanas dienai sadarbības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atlases kārtas ietvaros projektu īsteno saskaņā ar civiltiesisko līgumu vai vienošanos par projekta īstenošanu nosacījumiem, bet ne vēlāk kā līdz 2029.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procentiem no projektam piešķirtā ERAF finansējuma pēc civiltiesiskā līguma par projekta īstenošanu vai vienošanās par projekta īstenošanu nosacījumiem noslēgšanas, ievērojot, ka avansu var izmaksāt vairākos maksājumos un avansa un starpposma maksājumu kopsumma nepārsniedz 90 procentus no projektam piešķirtā ERAF finansējuma. Šāds piešķiramā avansa apmērs noteikts kā optimālākais variants, kas nepieciešams projektu īstenošanai, lai tiktu nodrošināta naudas plūsma projektā iekļauto darbību ieviešanai, ņemot vērā, ka projekta iesniedzējs ir pašvaldības kapitālsabiedrība, kā arī ņemot vērā, ka nepieciešams veicināt investīciju nonākšanu tautsaimniecībā un nodrošināt n+3 principa izpildi. Vienlaikus projektu iesniedzējiem tiek noteikta prasība reizē ar avansa pieprasījumu iesniegt pamatojumu par spēju avansu izlietot sešu mēnešu laikā. Avansa izlietošanas termiņš noteikts, ņemot vērā plānoto atlases laika grafiku un to, ka infrastruktūras būvniecība ir cieši saistīta ar sezonalitāti  - ziemas sezonā ir ierobežota būvdarbu veikšana ārtelpā, tāpēc nepieciešams plānot ilgāku laiku avansa izlietošanai, iekļaujot arī aktīvās būvdarbu sezonas mēnešus.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piemēram, projekta iesniedzējam ir pabeigts būvdarbu iepirkums (vai iepirkumu komisija ir pieņēmusi lēmumu par iepirkuma uzvarētāju) vai noslēgts būvdarbu līgums, pakalpojumu līgums un citos gadījumos atbilstoši sadarbības iestādes noteiktajām iekšējās kārtības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regulējuma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kas pēc projekta iesnieguma apstiprināšanas kļūst par finansējuma saņēmēju, ir sabiedrisko ūdenssaimniecības pakalpojumu sniedzējs – pašvaldība vai tās izveidota iestāde (tai skaitā aģentūra), vai kapitālsabiedrība, kurai ar pašvaldību ir noslēgts pakalpojuma līgums par sabiedrisko ūdenssaimniecības pakalpojumu sniegšanu, projekta iesniegumā pievienojams: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iesniedzējs ir kapitālsabiedrība - pakalpojuma līgums;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iesniedzējs ir pašvaldība vai tās iestāde - pārvaldes lēmums;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iesniedzējs ir pašvaldības aģentūra - saistošie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Visos iepriekšminētajos līdz ar projekta iesniegumu iesniedzamajos dokumentos ietver vismaz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tautsaimniecisko nozīmi (turpmāk - Eiropas Komisijas lēmums Nr. 2012/21/ES), iekļaujot nosacījumus, kādus paredz Eiropas Komisijas lēmuma Nr. 2012/21/ES 2. panta 2. punkts, 4. pants un 6.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konkrētus sniedzamos sabiedriskos ūdenssaimniecības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ūdenssaimniecības pakalpojumu sniegšanas teritoriju;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maksu par sabiedriskajiem ūdenssaimniecības pakalpojumiem;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ūdenssaimniecības pakalpojumu sniegšanas periodu, kas nav īsāks par pieciem gadiem un nepārsniedz 10 gadus.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ir kapitālsabiedrība vai pašvaldības aģentūra, papildus ietver: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sabiedrisko ūdenssaimniecības pakalpojumu sniedzējam piešķirto ekskluzīvo vai īpašo tiesību būtību, tajā skaitā norādot atbilstošo pašvaldības administratīvo teritoriju vai pašvaldības administratīvās teritorijas daļu un konkrētos sniedzamos sabiedriskos ūdenssaimniecības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iespēju saņemt atlīdzības maksājumus – investīcijas sabiedrisko ūdenssaimniecības pakalpojumu sniegšanas infrastruktūrā – un nosacījumus atlīdzības maksājumu aprēķināšanai, kontrolei un pārskatīšanai, kā arī atlīdzības maksājumu pārmaksas novēršanai un atmaksāšanai;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sabiedrisko ūdenssaimniecības pakalpojumu sniedzējam par nepieciešamā tehniskā aprīkojuma uzturēšanu un atjaunošanu, lai nodrošinātu minēto pakalpojumu izpildi saskaņā ar katram konkrētajam pakalpojumam izvirzītajām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finansējumu trešajā atlases kārtā piešķir, piemērojot Eiropas Komisijas lēmumu Nr. 2012/21/ES, nosakot prasību par pārkompensācijas uzraudzību.  Minētā pārkompensācijas uzraudzības mehānisma esamība tiek izvērtēta projekta iesnieguma vērtēšanas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projektos noteikti horizontālo principu (turpmāk – HP) "Nenodarīt būtisku kaitējumu", "Energoefektivitāte pirmajā vietā", “Klimatdrošināšana” un "Vienlīdzība, iekļaušana, nediskriminācija un pamattiesību ievērošana"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noteikta attiecībā uz HP “Energoefektivitāte pirmajā vietā”, projekta ietvaros īstenojot darbības, kas sekmē enerģijas ietaupījumu, kā arī citas darbības, kas ir izmaksefektīvi, tehniski, ekonomiski un videi nekaitīgi alternatīvi pasākumi, un vienlīdz efektīvi nodrošina attiecīgo mērķu sasniegšanu. Tieša ietekme noteikta arī attiecībā uz HP “Klimatdrošināšana” ievērošanu, projekta iesniedzējam projekta ietvaros nodrošinot atbilstību pielāgošanās klimata pārmaiņām aspektiem, izvērtējot klimatiskās ietekmes faktorus un veidojot tādu infrastruktūru, kas ir noturīga pret šo faktoru izpausmi. Projekta iesniedzējam jāaprēķina arī SEG emisiju ietaupījums, ja projektā paredzēts veikt ar dūņu apstrādes un atūdeņošanas iekārtām un infrastruktūru saistītās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“Nenodarīt būtisku kaitējumu”, uz kā ievērošanu trešajā atlases kārtā noteikta tieša ietekme, ietvaros noteikts nosacījums ievērot zaļā publiskā iepirkuma principu ievērošanu saskaņā ar Ministru kabineta 2017. gada 20. jūnija noteikumu Nr. 353 "Prasības zaļajam publiskajam iepirkumam un to piemērošanas kārtība" (turpmāk – MK noteikumi Nr. 353) 1. un 2. pielikumu, kur tas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projektu atlases trešajā kārtā nav ietekmes uz HP “Vienlīdzība, iekļaušana, nediskriminācija un pamattiesību ievērošana”, ņemot vērā, ka projektu mērķis ir saistīts ar tehniskām darbībām, tas ir, iekārtu maiņu vai pielāgošanu, turklāt tehniskās telpas nav pieejamas publiskai lietošanai, tādēļ projektā jāiekļauj vismaz viena vispārīga darbība, to attiecinot uz publicitāti, personālu vai publiskajiem iepirkumiem. Izstrādājot informatīvos materiālus, finansējuma saņēmēji ir īpaši aicināti tos izstrādāt, ievērojot vides un informācijas piekļūstamības principu, proti, informācija būs piekļūstama personām ar funkcionāliem traucējumiem ar vairākiem sensorajiem kanāliem (redze, dzirde, tauste).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2.2.1.1. pasākuma ietvaros atbalsts piešķirams atbilstoši Eiropas Komisijas lēmumam Nr. 2012/21/ES, respektīvi, tirgus dalībniekiem, kas vieni paši bez valsts atbalsta nespēj sniegt saimnieciskās darbības, turklāt šie sabiedriskie pakalpojumi tiek sniegti sabiedrības interesēs. Šādas saimnieciskās darbības īstenošanas rezultātā jāgūst saprātīga peļņa, un ne vienmēr šāds peļņas apmērs nodrošina finansiālos līdzekļus pakalpojuma sniegšanai nepieciešamās infrastruktūras izbūvei vai rekonstrukcijai. Respektīvi, pastāv iespēja, ka bez ERAF finansējuma nebūtu iespējams segt izmaksas, kas saistītas ar ieguldījumiem pakalpojuma sniegšanas nodrošināšanai nepieciešamajā infrastruktūrā.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2025. gada 21. februārī Ministru prezidentes Evikas Siliņas paziņotās valdības 4x4 prioritātes 2025. gadam, kā arī ikgadējā ziņojumā Saeimai iekļauto apņemšanos 2025. gadā turpināt darbu pie birokrātijas mazināšanas pasākumiem Eiropas Savienības fondu apguvē, tostarp paredzot atteikties no prasībām, kas nav noteiktas kā obligātas saskaņā ar Eiropas Savienības un Latvijas Republikas tiesību aktiem, netiek izvirzīta prasība projekta iesniedzējam veikt finanšu analīzi, tādējādi mazinot administratīvo slogu.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plāns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ņemti vērā Notekūdeņu apsaimniekošanas investīciju plānā 2021.-2027. gadam un tā pielikumos iekļautie dati, kas sagatavoti, veicot aptaujas ar ūdenssaimniecības uzņēmumu pārstāvjiem, veicot nepieciešamo investīciju aprēķinus, tostarp norādot uz investīciju nepieciešamībām.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ņemta vērā Notekūdeņu dūņu apsaimniekošanas plāna 2024.-2027. gadam aprakstītie investīciju virzieni, kā arī plānā norādītās alternatīvas.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aglomerāciju ar iedzīvotāju ekvivalentu (CE) no 2 000 līdz 9 999 iedzīvotājiem tiks uzlabota notekūdeņu attīrīšanas efektivitāte, tādējādi tiks paaugstināta attīrīto notekūdeņu kvalitāte, kas attiecīgi ietekmē kopējo apkārtējās vides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Sekmējot neattīrīto notekūdeņu centralizētu savākšanu mazināsies decentralizēto kanalizācijas sistēmu lietotāju skaits, vienlaikus uzlabojot kopējo apkārtējās vides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veicamajām darbībām un investīciju apjomam) paredzama ietekme uz ūdenssaimniecības tarifiem, jo īpaši ņemot vērā, ka jānodrošina šo ieguldījumu uzturēšana par saviem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sniedzēji aglomerācijās ar iedzīvotāju ekvivalentu (CE) 2 000 – 9 999 pildīs finansējuma saņēmēja funkcijas. Īstenojot projektus, ir jāņem vērā Noteikumu projektā noteiktais pieejamais ERAF finansējums, kritēriji projekta iesniegšanai un projektā sasniedzamās rādītāju vērtības. Paredzams, ka darbību īstenošanas rezultātā tiks sekmēta dabas resursu ekonomiski efektīva izmantošana, ierobežojot vides piesārņošanu, veicinot jaunu, vidi saudzējošu tehnoloģiju ieviešanu, vienlaikus atbalstot tautsaimniecības ilgtspējīgu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atbalstīt darbības iekārtu maiņai vai uzstādīšanai, arī inženiertīklu uzlabošanai, turklāt notekūdeņu attīrīšanai paredzētas specifiskas iekārtas un detaļas, kas varētu ietekmēt uzņēmējdarbības vidi, veidojoties pieprasījumam pēc šāda rakstura tehniskajiem risinājumiem. Vienlaikus paredzams, ka sekmējama aprites ekonomikas ieviešana, nodrošinot tālākai izmantošanai atbilstoši apstrādātu notekūdeņu dūņu apjomu.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īstenošanas rezultātā sagaidāma pozitīva ietekme uz tādu komersantu darbību, kas nodarbojas ar atbalstāmajās darbības iekļauto tehnisko vai tehnoloģisko risinājumu projektēšanu, ražošanu, piegādi, uzstādīšanu, apkopi, uzturēšanu. Investīciju rezultātā sekmējama ilgtspējīga tautsaimniecības attīstība, ierobežojot klimata pārmaiņas un nodrošinot īstenoto darbību ilglaicīgumu. Nodrošinot iekārtu atbilstīgu un efektīvu darbību, iespējama uzņēmumu sociālekonomiskās darbības uzlabošanās, kā arī uzņēmumu finanšu spējas veicināšana.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vienlīdzīgus konkurences apstākļus visiem atlases kārtas projektu iesniedzējiem.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atbalstāmajās darbībās sekmēs ne vien mazo un vidējo uzņēmumu konkurētspēju, bet arī sniegs pozitīvu ietekmi šādu uzņēmumu darbiniekiem, kā arī pozitīvi ietekmēs paša sabiedriskā pakalpojuma sniedzēja darbinieku darbu, tas ir, projekta īstenošanā veikto ieguldījumu rezultātā nepieciešama ikdienas darbības uzraudzība, apkope un citu pienākumu veikšana.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1 828 758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5 429 243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4 468 666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4 592 434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1 828 758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5 429 243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4 468 666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4 592 434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1 828 758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5 429 243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4 468 666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4 592 434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1 828 758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5 429 243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4 468 666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4 592 434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(Pasākuma trešās atlases kārtas ietvaros) indikatīvi ir šādas: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maksājumus finansējuma saņēmējiem 1 828 758 </w:t>
            </w:r>
            <w:r w:rsidR="00000000" w:rsidRPr="00000000" w:rsidDel="00000000">
              <w:rPr>
                <w:sz w:val="24"/>
                <w:i w:val="1"/>
                <w:rtl w:val="0"/>
              </w:rPr>
              <w:t xml:space="preserve">euro</w:t>
            </w:r>
            <w:r w:rsidR="00000000" w:rsidRPr="00000000" w:rsidDel="00000000">
              <w:rPr>
                <w:sz w:val="24"/>
                <w:rtl w:val="0"/>
              </w:rPr>
              <w:t xml:space="preserve">, ņemot vērā projektu iesniegumu sagatavošanas, iesniegšanas, vērtēšanas un civiltiesiskā līguma vai vienošanās par projekta īstenošanu noslēgšanas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maksājumus finansējuma saņēmējiem 5 429 243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maksājumus finansējuma saņēmējiem 4 468 666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gadā maksājumus finansējuma saņēmējiem 4 592 434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- 2030. gadā maksājumus finansējuma saņēmējiem 5 134 516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izstrādes laikā ietekme uz pašvaldību budžetiem (tostarp līdzfinansējuma sadalījums) nav konkrēti nosakāma. Projektu iesniedzēju un finansējuma saņēmēju loks ietver pašvaldības, to iestādes (tai skaitā aģentūras), kā arī pašvaldību kapitālsabiedrības, tādēļ precīzs līdzfinansējuma dalījums būs skaidrs tikai projektu iesniegumu atlases gaitā.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064 – Ūdens resursu apsaimniekošana un ūdens resursu saglabāšana (tostarp upju baseinu apsaimniekošana, konkrēti pasākumi, kas vērsti uz pielāgošanos klimata pārmaiņām, atkalizmantošana, noplūdes mazināšana) - 13 515 779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069 – Komerciālo, rūpniecisko atkritumu apsaimniekošana: rašanās novēršanas, apjoma samazināšanas, šķirošanas, atkārtotas izmantošanas, reciklēšanas pasākumi - 3 861 651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065 – Notekūdeņu savākšana un apstrāde - 4 076 187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 finansējuma saņēmējs izvērtē spēju izdevumus segt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laikā var veidoties neparedzēti izdevumi, kas ir attiecināmi līdz 5% apmērā no projekta kopējām tiešajām attiecināmajām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 norma, projekta iesniedzējam individuāli un tā saistīto personu grupai vērtējot grūtībās nonākuša uzņēmuma pazīmes.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 TAP portālā MK noteikumu projekta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rezultātā netika saņemti viedokļi, tāpēc viedokļu pārskats netiek pievienots.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tas tiks saskaņots ar Finanšu ministriju, Tieslietu ministriju, Labklājības ministriju, Ekonomikas ministriju, Klimata un enerģētikas ministriju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trešā kārta pozitīvi ietekmē publisko pakalpojumu attīstību, MK noteikumu projektā paredzētajām aktivitātēm uzlabojot sabiedriskā pakalpojuma veikšanas kvalitāti, kā arī, ja attiecināms, ietekmē jaudu, enerģijas galapatēriņu.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ietekmē Nacionālā attīstības plāna 2021.˗2027. gadam rīcības virziena “Daba un vide “Zaļais kurss” rīcības virziena uzdevuma Nr. 284 “Augstas un labas kvalitātes virszemes un pazemes ūdensobjektu īpatsvara palielinājuma panākšana, kā arī iekšzemes ūdensobjektu un jūras vides stāvokļa uzlabošana un pazemes ūdens resursu aizsardzība, samazinot antropogēno slodzi, t. sk. notekūdeņu kaitīgo ietekmi uz dabas resursiem un vidi, nodrošinot nepieciešamās infrastruktūras izveidi un veicinot notekūdeņu dūņu apstrādi” mērķu sasniegšanu. Vienlaikus darbību veikšanas rezultātā tiek sekmēta progresa rādītāja Nr. 274 "Augstai un labai ekoloģiskai kvalitātei atbilstošu ūdensobjektu skaits" mērķa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aktivitāšu veikšana palīdzēs mazināt antropogēno piesārņojumu, vienlaikus sekmējot iedzīvotājiem pievilcīgākas vides attīstību, tajā ietverot arī nepieciešamo inženierkomunikāciju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 HP “Nenodarīt būtisku kaitējumu” un "Klimatdrošināšana" darbību īstenošana, izpildot nepieciešamās prasības HP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paredzēto aktivitāšu īstenošana sekmēs notekūdeņu attīrīšanas iekārtu, centralizētās kanalizācijas sistēmas darbības uzlabošanu, sekmējot klimatneitralitātes mērķu sasniegšanu, tostarp attiecināma HP “Energoefektivitāte pirmajā vietā” un "Klimatdrošināšana" darbību īstenošana. Projekta ietvaros, kur tas attiecināms, piemērojams zaļais publiskais iepirkums preču un pakalpojumu grupām, kam tas noteikts MK noteikumos Nr. 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iesniedzēju un finansējuma saņēmēju veiktās darbības tiks daļēji segtas no ERAF finansējuma, mazinot iespējamo notekūdeņu apsaimniekošanas tarifu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trešajai atlases kārtai nav noteikta ietekme uz HP “Vienlīdzība, iekļaušana, nediskriminācija un pamattiesību ievērošana”, projektā jāiekļauj vismaz viena šī HP darbība attiecībā uz publicitāti, personālu vai publiskajiem iepirkumiem. Noteikumu izstrādes laikā ņemtas vērā Labklājības ministrijas un Tieslietu ministrijas izstrādātās vadlīnijas “Horizontālais princips “Vienlīdzība, iekļaušana, nediskriminācija un pamattiesību ievērošana” vadlīnijas īstenošanai un uzraudzībai (2021-2027)”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saņēmēji aicināti nodrošināt šādu vispārīgu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(pieejams: https://www.lm.gov.lv/lv/media/18838/download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tīmeklī ir piekļūstama cilvēkiem ar funkcionāliem traucējumiem, izmantojot vairākus sensoros (redze, dzirde, tauste) kanālus (skatīt VARAM vadlīnijas "Tīmekļvietņu un mobilo lietotņu piekļūstamība" (pieejams: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publisko iepirkumu rīkošanu un HP “Vienlīdzība, iekļaušana, nediskriminācija un pamattiesību ievērošana” finansējuma saņēmēji aicināti projektā īstenot sociāli atbildīgs iepirkumus,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iekļaut arī citas vispārīgas darbības, kas izriet no projekta satura un paredz vienlīdzības, iekļaušanas, nediskriminācijas un pamattiesību ievērošanu un vienlīdz efektīvi nodrošina attiecīgo mērķu sasniegšanu.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25-TA-497</w:t>
    </w:r>
    <w:r>
      <w:br/>
    </w:r>
    <w:r w:rsidR="00000000" w:rsidRPr="00000000" w:rsidDel="00000000">
      <w:rPr>
        <w:rtl w:val="0"/>
      </w:rPr>
      <w:t xml:space="preserve">Izdrukāts 29.07.2026. 23.14 - 3.0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25-TA-497</w:t>
    </w:r>
    <w:r>
      <w:br/>
    </w:r>
    <w:r w:rsidR="00000000" w:rsidRPr="00000000" w:rsidDel="00000000">
      <w:rPr>
        <w:rtl w:val="0"/>
      </w:rPr>
      <w:t xml:space="preserve">Izdrukāts 29.07.2026. 23.14 - 3.0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anotācija_(ex_ante)_25-TA-497.docx</dc:title>
</cp:coreProperties>
</file>

<file path=docProps/custom.xml><?xml version="1.0" encoding="utf-8"?>
<Properties xmlns="http://schemas.openxmlformats.org/officeDocument/2006/custom-properties" xmlns:vt="http://schemas.openxmlformats.org/officeDocument/2006/docPropsVTypes"/>
</file>