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13. jūnija noteikumos Nr. 337 "Kārtība, kādā interaktīvo azartspēļu un interaktīvo izložu organizētājs iesniedz paziņojumu par pārskata ceturksni""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13. jūnija noteikumos Nr. 337 "Kārtība, kādā interaktīvo azartspēļu un interaktīvo izložu organizētājs iesniedz paziņojumu par pārskata ceturksni"" (turpmāk - MK noteikumu projekts) izstrādāts, pamatojoties uz Ministru kabineta 2025. gada 3. oktobra rīkojuma Nr. 630 “Par Izložu un azartspēļu uzraudzības inspekcijas pievienošanu Valsts ieņēmumu dienestam” 5.2. apakšpunktā noteikto uzdevumu Finanšu ministrijai sagatavot un finanšu ministram noteiktā kārtībā iesniegt izskatīšanai Ministru kabinetā līdz 2026. gada 1. aprīlim grozījumus Ministru kabineta noteikumos, tai skaitā Ministru kabineta 2017. gada 13. jūnija noteikumos Nr. 337 "Kārtība, kādā interaktīvo azartspēļu un interaktīvo izložu organizētājs iesniedz paziņojumu par pārskata ceturksni" (turpmāk - MK noteikumi Nr. 337).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precizēt MK noteikumus Nr. 337, lai nodrošinātu to atbilstību institucionālajām izmaiņām pēc Izložu un azartspēļu uzraudzības inspekcijas (turpmāk - IAUI) likvidēšanas.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aprīli IAUI funkcijas azartspēļu un izložu jomā pāriet Valsts ieņēmumu dienesta pārziņā (turpmāk - VID).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337 nosaka kārtību, kādā interaktīvo azartspēļu organizētājs, totalizatora vai derību organizētājs, kas pieņem likmes ar elektronisko sakaru pakalpojumu starpniecību, un interaktīvo izložu organizētājs iesniedz IAUI un VID paziņojumus par pārskata ceturksni. Paziņojumos ietver informāciju par iemaksāto likmju un izmaksāto laimestu kopsummu, pārdoto biļešu skaitu un izmaksāto laimestu kopsummu, darījumiem spēlētāju norēķinu kontos, kā arī kredītiestādes izziņu par naudas plūsmu ceturkšņa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3. oktobra rīkojumam Nr. 630 “Par Izložu un azartspēļu uzraudzības inspekcijas pievienošanu Valsts ieņēmumu dienestam” IAUI funkcijas un uzdevumi azartspēļu un izložu jomā tiek nodoti VID kompetencē, jo no 2026. gada 1. aprīļa IAUI vairs nepastāvēs kā patstāvīga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noteikumu Nr. 337 atbilstību institucionālajām izmaiņām, nepieciešams grozīt MK noteikumus Nr. 337, paredzot, ka paziņojumi par iemaksātajām likmēm, izmaksātajiem laimestiem, pārdotajām biļetēm, darījumiem spēlētāju norēķinu kontos, kā arī kredītiestādes izziņas par šiem darījumiem tiek iesniegtas tikai VID Elektroniskās deklarēšanas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svītrot atsauces uz IAUI.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Interaktīvo azartspēļu organizētājs un totalizatora vai derību organizētājs, kas pieņem likmes ar elektronisko sakaru pakalpojumu starpniecību, un interaktīvo izložu organizētājs.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informācija par pārskata ceturksnī iemaksāto likmju un izmaksāto laimestu kopsummu, pārdotajām biļetēm, izmaksātajiem laimestiem un darījumiem spēlētāju norēķinu kontos jāiesniedz tikai VID, nevis kā līdz šim – gan VID, gan IAUI.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institūciju budžetu ir atspoguļota 2025.gada 3.decembrī Saeimā pieņemtā likuma "Grozījumi Azartspēļu un izložu likumā" (25-TA-2048)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Pārskata ceturkšņa dati par iemaksāto likmju un izmaksāto laimestu kopsummu, pārdotajām biļetēm, izmaksātajiem laimestiem un darījumiem spēlētāju norēķinu kontos turpmāk jāiesniedz tikai VID, līdzšinējās iesniegšanas kārtības vietā, kad dati tika sniegti gan VID, gan IAUI.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25-TA-3044</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25-TA-3044</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anotācija_(ex_ante)_25-TA-3044.docx</dc:title>
</cp:coreProperties>
</file>

<file path=docProps/custom.xml><?xml version="1.0" encoding="utf-8"?>
<Properties xmlns="http://schemas.openxmlformats.org/officeDocument/2006/custom-properties" xmlns:vt="http://schemas.openxmlformats.org/officeDocument/2006/docPropsVTypes"/>
</file>