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26. augusta noteikumos Nr. 508 "Kārtība, kādā veidojams, finansējams un sagatavojams Latvijas Nacionālo bruņoto spēku kontingents, kas piedalās starptautiskajās operācijās un ātrās reaģēšanas spēkos""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kārtību un nosacījumus atlīdzības piešķiršanai, ievērojot principu, ka laikā, kad kontingenta personāls pilda dienesta (darba) pienākumus starptautiskas operācijas vai ātrās reaģēšanas spēku ietvaros, tiek izmaksāta tikai tā atlīdzības daļa, kuru nesedz attiecīgo starptautisko operāciju vai ātrās reaģēšanas spēku vadošā starptautiskā organizācija.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regulējumā nav iekļauts princips, kas novērstu dublējošas kompensāciju plūsmas attiecībā uz kontingenta personālu, kas piedalās starptautiskās operācijās vai ātrās reaģēšanas spēkos.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organizācijas, kas vada starptautisku operāciju vai ātrās reaģēšanas spēkus, var noteikt kompensācijas par konkrētiem izdevumiem, kas saistīti ar kontingenta personāla dalību attiecīgajā formātā. Piemēram, īres kompensācija, ēšanas izdevumu kompensācija, transporta izdevumu kompensācija, ikdienas izmaksas, u.c. Maksājumi par līdzvērtīgām pozīcijām var tikt paredzēti arī atlīdzībā, ko kontingenta personālam izmaksā no Nacionālo bruņoto spēku budžeta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risku, ka kontingenta personāls varētu vienlaikus saņemt gan šāda veida kompensācijas no attiecīgās starptautiskās organizācijas, gan arī maksājumus no Nacionālo bruņoto spēku budžeta līdzekļiem par līdzvērtīgām pozīcijām, ir nepieciešams pilnveidot regulējumu, tajā iestrādājot principu, ko atspoguļo grozījumu projekts. Līdzvērtīgs risinājums jau pastāv Ministru kabineta 2011.gada 22.marta noteikumos Nr.219 "Kārtība, kādā diplomāti, diplomātiskā un konsulārā dienesta amatpersonas (darbinieki), specializētie atašeji, sakaru virsnieki, karavīri, tiešās pārvaldes iestādes amatpersonas (darbinieki) un valsts drošības iestādes amatpersonas (darbinieki) tiek norīkoti dienestā (darbā) starptautiskajās organizācijās ārvalstīs, un atlīdzības piešķiršanas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neskar sabiedrības grupu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24-TA-881</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24-TA-881</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anotācija_(ex_ante)_24-TA-881.docx</dc:title>
</cp:coreProperties>
</file>

<file path=docProps/custom.xml><?xml version="1.0" encoding="utf-8"?>
<Properties xmlns="http://schemas.openxmlformats.org/officeDocument/2006/custom-properties" xmlns:vt="http://schemas.openxmlformats.org/officeDocument/2006/docPropsVTypes"/>
</file>