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decembra noteikumos Nr. 1164 "Ostas valsts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21. decembra noteikumos “Ostas valsts kontroles kārtība”” (turpmāk – projekts) ir sagatavots pamatojoties uz Jūrlietu pārvaldes un jūras drošības likuma 15. panta trešo daļu, kā arī, ņemot vērā nepieciešamību ieviest atsevišķas Eiropas Parlamenta un Padomes 2023. gada 13. septembra Regulas Nr. 2023/1805 par atjaunīgo un mazoglekļa degvielu izmantošanu jūras transportā un ar ko groza Direktīvu 2009/16/EK (turpmāk – Regula Nr. 2023/1805)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Ministru kabineta 2010. gada 21. decembra noteikumos Nr. 1164 “Ostas valsts kontroles kārtība” (turpmāk – Noteikumi Nr. 1164) ietvertās spēkā esošās tiesību normas par ostas valsts kontroli, kā arī noteikt jaunas tiesību normas, kas nepieciešamas Regulā Nr. 2023/1805 noteikto saistību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un 15. punkts paredz, ka noteikumu XII.3 nodaļa un 6. pielikuma 51. punkts stājās spēkā 2025. gada 1. janvārī (Regulas Nr. 2023/1805 32. pants), bet grozījumi noteikumu 32.</w:t>
      </w:r>
      <w:r w:rsidR="00000000" w:rsidRPr="00000000" w:rsidDel="00000000">
        <w:rPr>
          <w:vertAlign w:val="superscript"/>
          <w:rtl w:val="0"/>
        </w:rPr>
        <w:t xml:space="preserve">1</w:t>
      </w:r>
      <w:r w:rsidR="00000000" w:rsidRPr="00000000" w:rsidDel="00000000">
        <w:rPr>
          <w:rtl w:val="0"/>
        </w:rPr>
        <w:t xml:space="preserve"> punktā stājas spēkā līdz ar atbilstošas funkcionalitātes izstrādi Starptautiskajā kravu loģistikas un ostu informācijas sistēmā (SKLOIS), bet ne vēlāk kā 2026.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projektā ietvertās tiesību normas stājās spēkā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tiesību normas par ostas valsts kontroli (ārvalstu kuģu kontrole Latvijas ostās) ir ietvertas Noteikumos Nr. 1164. Regula Nr. 2023/1805 paredz dažādas sankcijas un Regulā Nr. 2023/1805 noteikto saistību izpildes nodrošināšanas procedūras attiecībā uz ārvalstu kuģiem, kas ienāk Latvijas ostās. Uz ārvalsts karoga kuģa ir jānodrošina FuelEU atbilstības dokumenta pārbaude un, ja ārvalsts kuģis nav izpildījis Regulā Nr. 2023/1805 noteiktās saistības, tas var tikt izraidīts no Latvijas ostas. Ņemot vērā to, ka minētās darbības attiecas uz ārvalstu kuģu kontroli ostās, ir jāveic atbilstoši grozījumi Noteikumos Nr. 1164, nosakot, kas veiks minētās darbības, lai nodrošinātu minēto Regulas Nr. 2023/1805 prasību ieviešanu Latvijā. Kā arī, ir nepieciešams aktualizēt citas Noteikumos Nr. 1164 ietvertās tiesību normas atbilstoši notikušajām institucionālajām izmaiņām, izmaiņām citos normatīvajos aktos, kā arī ņemot vērā šo tiesību normu dažādus praktiskos piemērošanas aspektus.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2023/1805 paredz dažādas sankcijas un izpildes nodrošināšanas procedūras, ar kuru palīdzību tiks nodrošināta Regulā Nr. 2023/1805 noteikto pienākumu izpilde.  Regula Nr. 2023/1805 paredz to, ka ostas valsts kontroles ietvaros tiks pārbaudīta FuelEU atbilstības dokumenta, kas izdots saskaņā ar Regulu Nr. 2023/1805, esamība uz kuģa. Ja divus vai vairākus secīgus ziņošanas laikposmus tiek konstatēts, ka uz kuģa nav FuelEU atbilstības dokuments, piestāšanas ostas dalībvalsts kompetentā iestāde var pieņemt lēmumu par kuģa izraidīšanu. Nacionālie normatīvie akti šobrīd neparedz to, kuras iestādes kompetencē būs FuelEU atbilstības dokumenta pārbaude uz kuģa un lēmuma pieņemšana par kuģa izraidīšanu.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Regulā Nr. 2023/1805 noteikto pienākumu izpildi attiecībā uz Latvijas ostās ienākošiem ārvalsts karoga kuģiem, Noteikumos Nr. 1164 ir jānosaka kompetentās iestādes, kas pārbaudīs FuelEU atbilstības dokumenta esamību uz kuģa un pieņems lēmumu par kuģa izraidīšanu gadījumos, kad kuģis ir pārkāpis Regulā Nr. 2023/1805 noteiktās prasības. Ņemot vērā Latvijas Jūras administrācijas Kuģošanas drošības inspekcijas līdzšinējo kompetenci ostas valsts kontroles veikšanā, projekts paredz to, ka FuelEU atbilstības dokumenta esamību uz ārvalsts kuģa kontrolēs Latvijas Jūras administrācijas Kuģošanas drošības inspekcija. Ņemot vērā Valsts vides dienesta līdzšinējo kompetenci attiecībā uz jūras transporta oglekļa dioksīda emisiju monitoringu, kas noteikta likuma “Par piesārņojumu” 45.1 pantā un 47.panta ceturtajā daļā, projekts paredz to, ka lēmumu par kuģa izraidīšanu pieņem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kompetence attiecībā uz FuelEU atbilstības dokumenta pārbaudi uz Latvijas karoga kuģa un lēmumu pieņemšanu par Latvijas kuģa aizturēšanu Latvijas ostās par Regulas Nr. 2023/1805 pārkāpumiem ir nosakāma Ministru kabineta 2011. gada 7. jūnija noteikumos Nr. 439 “Noteikumi par kuģu karoga valsts uzraudzības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konstatēts, ka vairāki ārvalsts karoga kuģi – peldošie celtņi, liellaivas, zemessūcēji u.tml. strādā Latvijas ostās vairākus gadus. Daži ir tādi, kas,  lai izvairītos no drošības prasību ievērošanas, aizgājuši no Latvijas karoga un piereģistrējušies zem ārzemju karoga, kas nekādu karoga valsts uzraudzību neveic. Līdz ar to, lai nodrošinātu kuģošanas drošības standartu uzraudzību un ievērošanu uz šiem kuģiem Latvijas ūdeņos, Noteikumos Nr. 1164 ir jāparedz, ka šiem kuģiem tiek veiktas regulāras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kuģošanas drošības standartu uzraudzību un ievērošanu uz ārvalsts karoga kuģiem, kuri strādā Latvijas ostās vairākus gadus, projektā tiek paredzēts, ka šiem kuģiem tiek veiktas regulāras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1164 XX nodaļa par inspekciju datubāzi ir jāprecizē atbilstoši attiecīgiem grozījumiem Ministru kabineta 2012. gada 15. maija noteikumos Nr. 339 “Noteikumi par ostu formalitātēm” (ziņošana par ienākšanas ostā faktisko laiku un iziešanas no ostas faktisko laiku notiek Starptautiskajā kravu loģistikas un ostu informācijas sistēmā (SKLOIS), kā arī, ziņošanas pienākums par kuģa ienākšanu un iziešanu no ostas attiecas arī uz kuģi, kas atrodas reidā, un nav nepieciešams atsevišķi izdalīt ziņošanas pienākumu kuģim, kas atrodas reidā).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Ministru kabineta 2012. gada 15. maija noteikumos Nr. 339 “Noteikumi par ostu formalitātēm” tiek precizēta Noteikumu Nr. 1164 XX nodaļa par inspekciju datubāzi, svītrojot normu, kas paredz ziņošanu par ienākšanas ostā faktisko laiku un iziešanas no ostas faktisko laiku izmantojot automātisko identifikācijas sistēmu, un normu, kas nosaka ziņošanas pienākumu kuģim, kas atrodas reidā.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LR Uzņēmuma reģistra 2020. gada 23. decembra lēmumu “Par reorganizācijas ierakstīšanu komercreģistrā” Nr.6-12/128017, nepieciešams precizēt Noteikumu Nr. 1164 minēto firmu no valsts akciju sabiedrība “Latvijas Jūras administrācija” uz valsts sabiedrība ar ierobežotu atbildību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Jūras administrācijas nosaukums atbilstoši notikušajām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1164 ir ietvertas atsauces uz Starptautiskās Jūras organizācijas (IMO) rezolūcijām par IMO dalībvalstu audita struktūru un procedūrām un  par uzlaboto inspekciju programmu beramkuģu un naftas tankkuģu inspekciju laikā. Ņemot vērā to, ka konkrētās rezolūcijas ir aizstātas ar jaunākām rezolūcijām, Noteikumos Nr. 1164 ir jāprecizē atsauces uz spēkā esošajām IMO rezolūcijām.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1164 ietvertās atsauces uz IMO rezolūcijām par IMO dalībvalstu audita struktūru un procedūrām un  par uzlaboto inspekciju programmu beramkuģu un naftas tankkuģu inspekciju laikā tiek precizētas atbilstoši to jaunākajai redakcijai -   IMO Asamblejas 2013. gada 14. decembra rezolūcija A.1067(28) “IMO dalībvalstu audita struktūra un procedūras” un 2011. gada 30. novembra Rezolūcija A.1049(27) “Starptautiskais kodekss par uzlaboto inspekciju programmu beramkuģu un naftas tankkuģu inspekciju laikā 2011 (2011 ESP CODE)”.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1164 32.</w:t>
      </w:r>
      <w:r w:rsidR="00000000" w:rsidRPr="00000000" w:rsidDel="00000000">
        <w:rPr>
          <w:vertAlign w:val="superscript"/>
          <w:rtl w:val="0"/>
        </w:rPr>
        <w:t xml:space="preserve">1</w:t>
      </w:r>
      <w:r w:rsidR="00000000" w:rsidRPr="00000000" w:rsidDel="00000000">
        <w:rPr>
          <w:rtl w:val="0"/>
        </w:rPr>
        <w:t xml:space="preserve"> punkts šobrīd nosaka inspekcijas atlikšanas kārtību gadījumos, ja kuģis, kas ir izvēlēts inspekcijai, nav gatavs uzņemt ostas valsts kontroles inspektorus (piemēram, uz kuģa notiek remonts, kuģis ir dīkstāvē, kuģa operācijas ievērojami ierobežo inspekcijas veikšanas iespēju), kā arī iesaistīto pušu informēšanu, izmantojot Starptautisko kravu loģistikas un ostu informācijas sistēmu (SKLOIS). Ņemot vērā esošo Starptautiskās kravu loģistikas un ostu informācijas sistēmu (SKLOIS) funkcionalitāti, ostas valsts kontroles inspektori iesaistīto pušu informēšanu var realizēt tikai ar Nacionālo bruņoto spēku Krasta apsardzes dienesta starpniecību, to rakstiski informējot. Šāda kārtība prioritātes kuģu inspekcijas procesu padara laikietilpīgu un neefektīvu. Ņemot vērā plānotās izmaiņas Starptautiskajā kravu loģistikas un ostu informācijas sistēmā (SKLOIS), kas saistītas ar Eiropas Parlamenta un Padomes 2019. gada 20. jūnija regulas (ES) Nr. 2019/1239, ar ko izveido Eiropas Jūras vienloga sistēmas vidi un ar ko atceļ Direktīvu 2010/65/ES (turpmāk – regula Nr. 2019/1239), ieviešanu, rodas iespēja izveidot funkcionalitāti, kura nodrošinātu ostas valsts kontroles inspektoriem iespēju par saviem lēmumiem informāciju ievietot Starptautiskajā kravu loģistikas un ostu informācijas sistēmā (SKLOIS) tieši. Pārejas noteikumos tiek paredzēta spēkā stāšanās kārtība līdz ar atbilstošas Starptautiskās kravu loģistikas un ostu informācijas sistēmas (SKLOIS) funkcionalitātes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izmaiņas Starptautiskās kravu loģistikas un ostu informācijas sistēmas (SKLOIS) funkcionalitātē, ir jāprecizē Noteikumu Nr. 1164 32.</w:t>
      </w:r>
      <w:r w:rsidR="00000000" w:rsidRPr="00000000" w:rsidDel="00000000">
        <w:rPr>
          <w:vertAlign w:val="superscript"/>
          <w:rtl w:val="0"/>
        </w:rPr>
        <w:t xml:space="preserve">1</w:t>
      </w:r>
      <w:r w:rsidR="00000000" w:rsidRPr="00000000" w:rsidDel="00000000">
        <w:rPr>
          <w:rtl w:val="0"/>
        </w:rPr>
        <w:t xml:space="preserve"> punkts, nosakot Kuģošanas drošības inspekcijas kompetenci pieņemtos lēmumus paziņot tieši Starptautiskajā kravu loģistikas un ostu informācijas sistēmā (SKLOIS). Projekts paredz pārejas noteikumos to, ka grozījumi Noteikumu Nr. 1164 32.</w:t>
      </w:r>
      <w:r w:rsidR="00000000" w:rsidRPr="00000000" w:rsidDel="00000000">
        <w:rPr>
          <w:vertAlign w:val="superscript"/>
          <w:rtl w:val="0"/>
        </w:rPr>
        <w:t xml:space="preserve">1</w:t>
      </w:r>
      <w:r w:rsidR="00000000" w:rsidRPr="00000000" w:rsidDel="00000000">
        <w:rPr>
          <w:rtl w:val="0"/>
        </w:rPr>
        <w:t xml:space="preserve">  punktā stājas spēkā līdz ar atbilstošas funkcionalitātes izstrādi Starptautiskajā kravu loģistikas un ostu informācijas sistēmā (SKLOIS), bet ne vēlāk kā 2026. gada 1. jūlijā . Līdz tam ir piemērojama pašreizējā kārtība, kas paredzēta Noteikumu Nr. 32.</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pirmās daļas 10.punktu viena no ostu formalitātēm ir ziņošana par nepieciešamību veikt paplašinātu inspekciju ostas valsts kontroles ietvaros.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trešā daļa ietver pilnvarojumu Ministru kabinetam noteikt kārtību, kādā notiek ostu formalitāšu kārtošana. Minētā kārtība ir paredzēta Ministru kabineta 2012.gada 15. maija noteikumos Nr. 339 “Noteikumi par ostu formalitātēm”, izņemot ziņošanu par nepieciešamību veikt paplašinātu inspekciju ostas valsts kontroles ietvaros, kas ir paredzēta Noteikumos Nr. 1164 (noteikumu Nr. 1164 V. nodaļa). Līdz ar to ir nepieciešams Noteikumu Nr. 1164 izdošanas pamatu papildināt ar atsauci arī uz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Noteikumu Nr. 1164 izdošanas pamats tiek papildināts ar atsauci arī uz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attiecas uz starptautiskajā kuģošanā iesaistītiem kuģiem, kas ienāk Latvijas ostās, to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1.3.sadaļu.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attiecas uz starptautiskajā kuģošanā iesaistītiem kuģiem, kas ienāk Latvijas ostās, to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1.3.sadaļu.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tiešas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 Kuģošanas drošības inspekcijas pieņemto lēmumu paziņošanas funkcionalitāti Starptautiskajā kravu loģistikas un ostu informācijas sistēmā (SKLOIS) plānots izstrādāt Eiropas Savienības kohēzijas politikas programmas 2021.–2027. gadam 1.3.1.SAM finansēta projekta ietvaros. Konkrētā projekta īstenošanas kārtību un pieejamo finansējumu regulē Ministru kabineta 2024. gada 4. jūnija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 un Nacionālo bruņoto spēku Krasta apsardzes dienests nodrošinās noteikumu projektā noteiktā izpildi (tai skaitā, pienākumus un tiesības)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“Klimata likums” anotācijā nosakāms, ka kompetentās iestādes funkcijas, kas ir noteiktas Regulas Nr. 2023/1805 17., 20.4, 22.2., 22.5, 23.2., 23.3, 23.5. un 25.3. pantos, tiks finansētas no ETS un ETS2 ieviešanai noteiktā finansējuma Valsts vides dienestam.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2011. gada 7. jūnija noteikumos Nr.439 “Noteikumi par kuģu karoga valsts uzraudzības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kompetence attiecībā uz FuelEU atbilstības dokumenta pārbaudi uz Latvijas karoga kuģa un lēmumu pieņemšanu par Latvijas kuģa aizturēšanu Latvijas ostās par Regulas Nr. 2023/1805 pārkāpumiem ir nosakāma Ministru kabineta 2011. gada 7. jūnija noteikumos Nr.439 “Noteikumi par kuģu karoga valsts uzraudzības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Likumprojekta “Klimata likums”, 21-TA-62.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“Klimata likums” anotācijā nosakāms, ka kompetentās iestādes funkcijas, kas ir noteiktas Regulas Nr. 2023/1805 17., 20.4, 22.2., 22.5, 23.2., 23.3, 23.5. un 25.3. pantos, tiks finansētas no ETS un ETS2 ieviešanai noteiktā finansējuma Valsts vides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32004R0725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Eiropas Parlamenta un Padomes 2023. gada 13. septembra Regula Nr. 2023/1805 par atjaunīgo un mazoglekļa degvielu izmantošanu jūras transportā un ar ko groza Direktīvu 2009/16/EK (turpmāk – Regula Nr. 2023/1805) (publicēta “Eiropas Savienības Oficiālajā Vēstnesī” L 234, 22.09.2023.).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2023/1805 mērķis ir palielināt atjaunīgo un mazoglekļa degvielu un aizstājējenergoresursu konsekventu izmantošanu jūras transportā visā Savienībā, kas ir saskaņā ar Savienības mērķi vēlākais līdz 2050. gadam panākt klimatneitralitāti, vienlaikus nodrošinot raitu jūras transporta darbību, radot regulatīvo noteiktību atjaunīgo un mazoglekļa degvielu un ilgtspējīgu tehnoloģiju ieviešanai un novēršot iekšējā tirgus izkropļojumus.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noteikumus, ar ko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a)siltumnīcefekta gāzu (SEG) emisijas intensitātes robežvērtību enerģijai, kas patērēta uz kuģa, kurš ienāk dalībvalsts jurisdikcijā esošās ostās, stāv tajās vai iziet no tām;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b)pienākumu izmantot krasta energoapgādi (OPS) vai bezemisiju tehnoloģiju dalībvalsts jurisdikcijā esošās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Eiropas Parlamenta un Padomes 2023. gada 13. septembra Regula Nr. 2023/1805 par atjaunīgo un mazoglekļa degvielu izmantošanu jūras transportā un ar ko groza Direktīvu 2009/16/EK (turpmāk – Regula Nr. 2023/1805) (publicēta “Eiropas Savienības Oficiālajā Vēstnesī” L 234, 22.09.2023.).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8.punkts (Noteikumu Nr.1164 nākotnes redakcijas 55</w:t>
            </w:r>
            <w:r w:rsidR="00000000" w:rsidRPr="00000000" w:rsidDel="00000000">
              <w:rPr>
                <w:sz w:val="24"/>
                <w:vertAlign w:val="superscript"/>
                <w:rtl w:val="0"/>
              </w:rPr>
              <w:t xml:space="preserve">11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3.punkts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8.punkts (Noteikumu Nr.1164 nākotnes redakcijas 55</w:t>
            </w:r>
            <w:r w:rsidR="00000000" w:rsidRPr="00000000" w:rsidDel="00000000">
              <w:rPr>
                <w:sz w:val="24"/>
                <w:vertAlign w:val="superscript"/>
                <w:rtl w:val="0"/>
              </w:rPr>
              <w:t xml:space="preserve">12</w:t>
            </w:r>
            <w:r w:rsidR="00000000" w:rsidRPr="00000000" w:rsidDel="00000000">
              <w:rPr>
                <w:sz w:val="24"/>
                <w:rtl w:val="0"/>
              </w:rPr>
              <w:t xml:space="preserve"> punkts, 55</w:t>
            </w:r>
            <w:r w:rsidR="00000000" w:rsidRPr="00000000" w:rsidDel="00000000">
              <w:rPr>
                <w:sz w:val="24"/>
                <w:vertAlign w:val="superscript"/>
                <w:rtl w:val="0"/>
              </w:rPr>
              <w:t xml:space="preserve">13 </w:t>
            </w:r>
            <w:r w:rsidR="00000000" w:rsidRPr="00000000" w:rsidDel="00000000">
              <w:rPr>
                <w:sz w:val="24"/>
                <w:rtl w:val="0"/>
              </w:rPr>
              <w:t xml:space="preserve">punkts un  55</w:t>
            </w:r>
            <w:r w:rsidR="00000000" w:rsidRPr="00000000" w:rsidDel="00000000">
              <w:rPr>
                <w:sz w:val="24"/>
                <w:vertAlign w:val="superscript"/>
                <w:rtl w:val="0"/>
              </w:rPr>
              <w:t xml:space="preserve">14</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Krasta apsardzes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vides dienesta un VSIA “Latvijas Jūras administrācijas” un  Nacionālo bruņoto spēku Krasta apsardzes dienesta funkcijas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pārņemtas atsevišķas Regulas Nr. 2023/1805 normas. Regulas mērķis attiecībā uz klimatneitralitāti, ir norādīts anotācijas 5.1.punktā.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24-TA-2015</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24-TA-2015</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anotācija_(ex_ante)_24-TA-2015.docx</dc:title>
</cp:coreProperties>
</file>

<file path=docProps/custom.xml><?xml version="1.0" encoding="utf-8"?>
<Properties xmlns="http://schemas.openxmlformats.org/officeDocument/2006/custom-properties" xmlns:vt="http://schemas.openxmlformats.org/officeDocument/2006/docPropsVTypes"/>
</file>