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11.05.2026. 15:44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pašreizējais formulējums “precizēt noteikto kārtību” raksturo plānoto grozījumu veidu, nevis sasniedzamo rezultātu vai risināmo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būtu jāatspoguļo, kādu rezultātu paredzēts sasniegt ar regulējuma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apakšpunktā ietverto administratīvo izmaksu monetāro novērtējumu, papildinot aprēķina skaidrojumu ar detalizētāku izmantoto pieņēmumu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aprēķina skaidrojumā nav norādīta atsauce uz konkrēto noteikumu projekta normu, no kuras izriet informācijas sniegšanas pienākums un par kuru veikts administratīvo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aprēķina skaidrojumā nav pietiekami pamatotas aprēķinā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skaidrots, kā noteikts trīs stundu laika patēriņš TRL informācijas sagatavošanai un kādas konkrētas darbības tas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pamatots pieņēmums par vidēji 20 projektu iesniegumiem gadā (kas ir datu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aprēķina skaidrojumu ar izmantoto pieņēmumu izcelsmi, datu avotiem un aprēķina metodoloģijas skaidrojumu, nodrošinot aprēķina izsekojamību un atbilstību Ministru kabineta 2021. gada 7. septembra noteikumu Nr. 617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Latvijas Lauku konsultāciju un izglītības centru un Dārzkopības institūtu norādīt sadaļā Cits, ņemot vērā to juridisko statusu (ne viens, ne otrs nav nevalstiskā organizācija).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Zemkopības ministriju korekti pabeigt publiskās apspriešanas procesu, viedokļu apkopojumu pievienojot nevis kā papildu dokumentu, bet tieši pie publiskās apspriešanas, un to publicējot.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Zemkopības ministriju iekļaut šo pasākumu demarkācijas matricā, ņemot vērā nepieciešamību nodrošināt un pārbaudīt noteikumu ietvaros atbalstāmo darbību nepārklāšanos ar Eiropas Savienības ANM plāna Latvijai un ERAF 2021-2027 pasākumiem. Demarkācijas matricā iekļaujamā informācija ir atrodama tās tīmekļa  vietnē:  https://www.esfondi.lv/profesionaliem/demarkacija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Zemkopības ministrija Finanšu ministrijas izstrādātajā demarkācijas matricā ievada informāciju tikai par tās pārziņā esošajiem Atveseļošanas fonda pasākumiem. Savukārt Zemkopības ministrija kā Eiropas Lauksaimniecības fonda lauku attīstībai (ELFLA) un Eiropas Lauksaimniecības garantiju fonda (ELGF) vadošā iestāde informāciju par atbalstāmo darbību nepārklāšanos ar Eiropas Savienības Atveseļošanas un noturības mehānisma plāna Latvijai un Eiropas Reģionālās attīstības fonda (ERAF) 2021.–2027. gada plānošanas perioda pasākumiem, attiecībā uz KLP stratēģiskā plāna (KLP SP) intervencēm, ietver KLP SP 4.5. sadaļā “Pārskats par koordinēšanu, nošķīrumu un komplementaritāti starp ELFLA un citiem Savienības fondiem, ko izmanto lauku apvidos” (https://www.zm.gov.lv/lv/latvijas-kopejas-lauksaimniecibas-politikas-strategiskais-plans-2023-2027gadam-0).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demarkācijas matricas aizpildīšanu ir pārrunāts ar Finanšu ministrijas pārstāvjiem, un ir panākta vienošanās, ka 2021.–2027. gada plānošanas periodā Finanšu ministrijas izstrādātajā demarkācijas matricā Zemkopības ministrijai nav obligāti jāiekļauj informācija par ELFLA un ELGF pasākumiem/intervencēm. Vienlaikus, ņemot vērā, ka KLP SP plānošanas periods tuvojas noslēgumam, nav lietderīgi dublēt informāciju, kas jau ir ietverta KLP SP 4.5. sadaļā (demarkācijas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18:14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atspoguļot administratīvā sloga izmaiņas, kas izriet no noteikumu projekta 14. un 27. punktā paredzētajām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projekta 7. punktu tiek palielināts iepirkuma slieksnis, kā rezultātā samazinās to gadījumu skaits, kuros atbalsta pretendentiem jāveic iepirkuma procedūras un ar to saistītās administratīvās darbības (piemēram, cenu aptaujas sagatavošana, dokumentācijas iesniegšana un saskaņošana). Savukārt ar noteikumu projekta 13. -15. punktā noteiktām izmaiņām ir precizēts un paplašināts projekta iesniegumā sniedzamās informācijas apjoms (piemēram, papildinot prasības attiecībā uz tehnoloģiskās gatavības līmeni (TRL), projekta ietekmes raksturojumu un nozares vajadzību pamatojumu), tostarp paredzot informācijas sagatavošanu, izmantojot starptautisku terminoloģiju vai angļu valodu, kas var palielināt administratīvo slogu atbalsta pretendentiem (piemēram, papildu laika patēriņš vai nepieciešamība piesaistīt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minēto izmaiņu ietekmi uz administratīvā sloga apmēru (gan samazinājumu, gan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noteikumu projekta 40. punktā veiktās izmaiņas, ar kurām tiek precizēts un paplašināts projekta beigu pārskatā iekļaujamās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darbības pēc būtības var būt attiecināmas uz projekta ietvaros finansējamām aktivitātēm (piemēram, projekta koordinācijas un publicitātes izmaksas), lūdzam izvērtēt, vai tās pilnībā tiek segtas no projekta finansējuma. Gadījumā, ja kāda daļa no prasībām netiek segta, lūdzam izvērtēt to ietekmi uz administratīvo slogu un veikt attiecīgu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administratīvā sloga novērtējumu, lūdzam izvērtēt arī citas noteikumu projektā ietvertās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noteikumu projektu 7. punktu (noteikumu Nr.613 40. punktu). Saskaņā ar Ministru kabineta 2021. gada 7. septembra noteikumu Nr. 617 16. punktu administratīvās izmaksas ir izmaksas, kas rodas informācijas sniegšanas pienākumu izpildes rezultātā. Vienlaikus vadlīnijās tiesību akta sākotnējās ietekmes novērtēšanai ir noteikts, ka administratīvo izmaksu monetārais novērtējums veicams gadījumos, kad tiesību akts nosaka informācijas sniegšanas pienākumu regulējuma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regulējums šādu pienākumu regulējuma subjektiem nenosaka, administratīvo izmaksu monetārais novērtējums netiek veikts. Noteikumu projekts paredz vienīgi sliekšņa palielināšanu uz 10 000 euro, neietekmējot līdzšinējās prasības un neradot jaunus informācijas sniegšanas pienākumus. Līdz ar to regulējums attiecas tikai uz doumentu saturu, kas pievienojams atbalsta pretendenta pieteikumam, un administratīvās izmaksas mērķgrupai neveidojas.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projektu 13. punktu (noteikumu Nr.613 noteikumu Nr.613 27.1.2.5.</w:t>
            </w:r>
            <w:r w:rsidR="00000000" w:rsidRPr="00000000" w:rsidDel="00000000">
              <w:rPr>
                <w:vertAlign w:val="superscript"/>
                <w:rtl w:val="0"/>
              </w:rPr>
              <w:t xml:space="preserve">1</w:t>
            </w:r>
            <w:r w:rsidR="00000000" w:rsidRPr="00000000" w:rsidDel="00000000">
              <w:rPr>
                <w:rtl w:val="0"/>
              </w:rPr>
              <w:t xml:space="preserve"> . apakšpunktu) - izvērtēts administratīvā sloga apmērs. Administratīvo izmaksu novērtējums tika veikts tikai juridiskajām personām. Praktiskajā īstenošanā EIP darba grupas projektu iesniedzējs vienmēr ir juridiska persona – kooperatīvs, uzņēmums, pētniecības organizācija vai nevalstiskā organizācija. Fiziskās personas piedalās projektā kā darba grupas dalībnieki, taču tām netiek noteikti informācijas sniegšanas pienākumi, kas radītu administratīvo slogu MK noteikumu Nr. 617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noteikumu projektu 14. punktu (noteikumu Nr.613 27.1.2.6. apakšpunkts) - skaidrojam, ka ar šo grozījumu atbalsta saņēmējam netiek uzliktas papildu prasības. Grozījums precizē nosacījumus, kāda informācija iesniedzama Lauku atbalsta dienesta elektroniskajā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noteikumu projekta 18. punktu (noteikumu Nr. 613 40. punkts) skaidrojam, ka ar šo grozījumu atbalsta saņēmējam netiek uzliktas papildu prasības. Punktā norādītā informācija par beigu pārskatu jau iepriekš bija noteikta 38. punktā, taču tagad tā ir iekļauta arī pašos noteikumos, lai atbalsta saņēmējam jau iepriekš būtu skaidrs, kādu informāciju LAD prasīs beigu pārskatā. Beigu pārskata sagatavošanas un publicitātes izmaksas tiek pilnībā segtas no projekta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pārējās noteikumu projektā ietvertās izmaiņas ir izvērtētas, un ir konstatēts, ka tās nerada administratīvo slogu ne juridiskajām, ne fiziskajām personām. Grozījumi neparedz jaunu informācijas sniegšanas pienākumu, nepalielina esošo pienākumu izpildes biežumu vai apjomu un neietver papildu administratīvas darbības, kas būtu jāveic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papildināt 6.3.apakšpunktā norādīto informāciju ar īsu aprakstu par publiskās apspriešanas laikā saņemtajiem viedokļiem. Jebkuram interesentam ir jābūt iespējai gūt priekšstatu par saņemtajiem priekšlikumiem anotācijā (bez iepazīšanas ar papildu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sadaļā ietverto ietekmes aprakstu, nodrošinot pilnīgu un saturiski pamatotu informāciju par ietekmi uz identificētajām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fiziskajām personām ietekmes apraksts nav sniegts, lai gan ir norādīts, ka tiesiskais regulējums tās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juridiskajām personām sniegtais apraksts galvenokārt raksturo EIP darba grupas sastāvu un būtību, nevis konkrēto regulējuma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konkrētu ietekmes aprakstu fiziskajām personām vai pamatot, kāpēc ietekme nav identificējama;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juridiskajām personām papildināt aprakstu, skaidri norādot, kādas izmaiņas regulējums rada (piemēram, pienākumi, prasības, procesu izmaiņas, iespējamā sloga palielināšanās vai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anotācijas atbilstību prasībām un skaidru priekšstatu par regulējuma ietekmi uz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iekļauto grozījumu izpilde par jaunu nosacījumu atbalsta intensitātei līdz 90% apmērā pētniecības organizācijām, iegādājoties materiāltehnisko bāzi, tiks nodrošināta Latvijas Kopējās lauksaimniecības politikas stratēģiskā plāna 2023.–2027. gadam intervencei "Atbalsts Eiropas Inovāciju partnerības darba grupu projektu īstenošanai"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papildināt noteikumu projekta 6.1.apakšpuntu ar 6.3.pakšpunktā minētajām 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Zemkopības ministriju iekļaut šo pasākumu demarkācijas matricā, ņemot vērā nepieciešamību nodrošināt un pārbaudīt noteikumu ietvaros atbalstāmo darbību nepārklāšanos ar Eiropas Savienības ANM plāna Latvijai un ERAF 2021-2027 pasākumiem. Demarkācijas matricā iekļaujamā informācija ir atrodama tās tīmekļa vietnē:  https://www.esfondi.lv/profesionaliem/demarkacija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26-TA-528</w:t>
    </w:r>
    <w:r>
      <w:br/>
    </w:r>
    <w:r w:rsidR="00000000" w:rsidRPr="00000000" w:rsidDel="00000000">
      <w:rPr>
        <w:rtl w:val="0"/>
      </w:rPr>
      <w:t xml:space="preserve">22.05.2026. 12.47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26-TA-528</w:t>
    </w:r>
    <w:r>
      <w:br/>
    </w:r>
    <w:r w:rsidR="00000000" w:rsidRPr="00000000" w:rsidDel="00000000">
      <w:rPr>
        <w:rtl w:val="0"/>
      </w:rPr>
      <w:t xml:space="preserve">22.05.2026. 12.47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Izziņa_26-TA-528.docx</dc:title>
</cp:coreProperties>
</file>

<file path=docProps/custom.xml><?xml version="1.0" encoding="utf-8"?>
<Properties xmlns="http://schemas.openxmlformats.org/officeDocument/2006/custom-properties" xmlns:vt="http://schemas.openxmlformats.org/officeDocument/2006/docPropsVTypes"/>
</file>