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26-TA-329: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10. decembra noteikumos Nr. 730 "Ekspluatējamu ēku energoefektivitātes minimālās prasības"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(12.10.2025.)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13:58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Ēku energoefektivitātes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piedāvāta 9 punkta jauno redakciju, uzsverot,  ka prasība ir piemērojama tikai gadījumos, kad attiecīgajai ēkai ir pieejams valsts vai ES fondu finansējums vai veikta kompleksa ēkas atjaunošana, nevis atsevišķa siltumģeneratora nomaiņa.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ēkās bieži tiek veikta tikai lokāla apkures sistēmas nomaiņa un prasības paplašināšana līdz telpu līmeņa monitoringa sistēmām šādos gadījumos nav samērīga ar sasniedzamo enerģijas ietaupījumu un rada nesamērīgu finanšu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norādi, ka jauno prasību ieviešanas lietderību un finansiālo pamatotību novērtē sertificēts būvspeciālists vai neatkarīgais eksperts.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Ēku energoefektivitātes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punkta 10 2 prim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obligātos termiņus vai aizstāt tos ar rekomendējošu normu, sasaistot ieviešanu ar valsts atbalsta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nav iespējams plānot ilgtermiņa investīcijas bez garantēta finansējuma avota.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2020. gada 10. decembra noteikumos Nr. 730 "Ekspluatējamu ēku energoefektivitātes minimālās prasības" (Latvijas Vēstnesis, 2020, 242. nr.; 2025, 22.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Līdz 2027. gada 1. janvārim nedzīvojamā ēkā ar vairāk nekā 20 autostāvvietām ierīko:</w:t>
            </w:r>
            <w:r w:rsidR="00000000" w:rsidRPr="00000000" w:rsidDel="00000000">
              <w:rPr>
                <w:i w:val="1"/>
                <w:rtl w:val="0"/>
              </w:rPr>
              <w:t xml:space="preserve">12.1. vismaz vienu elektrotransportlīdzekļu uzlādes punktu uz 10 autostāvvietām vai ierīko kabeļkanālus vismaz 50 % automašīnu stāvvietām;</w:t>
            </w:r>
            <w:r w:rsidR="00000000" w:rsidRPr="00000000" w:rsidDel="00000000">
              <w:rPr>
                <w:i w:val="1"/>
                <w:rtl w:val="0"/>
              </w:rPr>
              <w:t xml:space="preserve">12.2. velosipēdu stāvvietas, kas veido vismaz 15 % no ēkas vidējās lietotāju kapacitātes vai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Vēršam uzmanību, ka Eiropas Parlamenta un Padomes Regula (ES) 2018/858 (2018. gada 30. maijs) par mehānisko transportlīdzekļu un to piekabju, kā arī tādiem transportlīdzekļiem paredzētu sistēmu, sastāvdaļu un atsevišķu tehnisku vienību apstiprināšanu un tirgus uzraudzību un ar ko groza Regulas (EK) Nr. 715/2007 un (EK) Nr. 595/2009 un atceļ Direktīvu 2007/46/EK paredz noteiktus atvieglojumus tādiem autotransporta līdzekļiem, kas ir konstruēti un izgatavoti vai pielāgoti civilās aizsardzības dienestu, ugunsdzēsības dienestu un sabiedriskās kārtības uzturēšanas dienestu vajadzībām. EIROPAS PARLAMENTA UN PADOMES DIREKTĪVA 2009/33/EK (2009. gada 23. aprīlis), par tīru autotransporta līdzekļu izmantošanas veicināšanu mazemisiju mobilitātes atbalstam paredz iepriekš minēto transportlīdzekļu atbrīvošanu no prasības par tīru autotransporta līdzekļu izmantošanas veicināšanu mazemisiju mobilitātes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ekonomiski pamatoti un lietderīgi šo dienestu lietošanā esošajos objektos ierīkot tik lielu elektrotransportlīdzekļu uzlādes punktu skaitu, kā arī kabeļkanālus vismaz 50 % automašīnu stāvvietām (kas atrodas ēkas iekšienē), jo tas neatbilst dienestu faktiskajām vajadzībām, kā rezultātā izbūvētā infrastruktūra netiks izmantota, radot iestādei nesamērīgus izdevumus saistībā ar šādas infrastruktūras ierīkošanu un uzturēšanu, jo, lai ierīkotu elektrotransportlīdzekļu uzlādes punktu, būs nepieciešams palielināt un uzturēt elektroenerģijas jaudu, līdz ar ko iestādes būs spiestas maksāt gan par pieslēgumu, gan par jaudas uzturēšanu, kas veido gana augstas izmaksas. Tas pats ir attiecināms arī uz infrastruktūras izbūvei nepieciešamo kabeļu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norāda, ka šāda veida infrastruktūras izbūvē ir nepieciešama vienota, stratēģiski pamatota un koordināta pieeja, kam jābalstās uz ilgtermiņa attīstības tendencēm un lietotāju faktiskajām vajadzībām, uz ko norādījusi arī 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Ekonomikas ministrijā notikušās diskusijas saistībā ar tiesību aktu projektu “Grozījumi Ministru kabineta 2021. gada 19. oktobra noteikumos Nr. 693 “Būvju vispārīgo prasību būvnormatīvs LBN 200-21” (tiesību akta lieta 25-TA-1187), aicinām salāgot abu tiesību aktu projektu regulējumu un attiecīgi projektā paredzēt, ka šo noteikumu 12. punktu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autostāvvietām pie publiskā sektora subjektu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kuru tiešā funkcionālā tuvumā (piemēram, viena zemesgabala vai kvartāla ietvaros) atrodas koplietošanas elektrotransportlīdzekļu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pie kurām funkcionālu vai drošības apsvērumu dēļ nav atļauta vai ir ierobežota automašīnu novietošana.”;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Noteikumu projekts ir sagatavots saskaņā ar Ēku energoefektivitātes likuma 4. panta otro daļu, kas paredz deleģējumu Ministru kabinetam  izdot noteikumus par sekojošām ekspluatējamu ēku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ēku enerģijas patēriņa līmeni un primārās enerģijas patēriņa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ēkas inženiertehnisko sistēmu automatizācijas un vadības sistēmu funkcionalitāti, telpu mikroklimatu pašregulējošu ierīču uzstādīšanu, ēkā patērētā energonesēja vai enerģijas 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elektrotransportlīdzekļu uzlādes punktu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prasības attiecībā uz velosipēdu stāvvietu ierīkošanu iziet ārpus likumā Ministru kabinetam noteiktās kompetences. Ņemot vērā minēto, attiecīgi svītrot noteikumu projekta 12.2. apakšpunktu un 12.</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nosakot izņēmumus 12.punkta piemērošanai saskaņoti ar ar tiesību aktu projektā “Grozījumi Ministru kabineta 2021. gada 19. oktobra noteikumos Nr. 693 “Būvju vispārīgo prasību būvnormatīvs LBN 200-21” (tiesību akta lieta 25-TA-1187) veiktajiem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projekta 12.2. apakšpunkta un 12.</w:t>
            </w:r>
            <w:r w:rsidR="00000000" w:rsidRPr="00000000" w:rsidDel="00000000">
              <w:rPr>
                <w:vertAlign w:val="superscript"/>
                <w:rtl w:val="0"/>
              </w:rPr>
              <w:t xml:space="preserve">1</w:t>
            </w:r>
            <w:r w:rsidR="00000000" w:rsidRPr="00000000" w:rsidDel="00000000">
              <w:rPr>
                <w:rtl w:val="0"/>
              </w:rPr>
              <w:t xml:space="preserve"> punkta svītrošanu iebildums nav ņemts vērā, jo elektrotransportlīdzeklis ir arī elektriskais velosipēds (e-velosipēds).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anotācijas 1.2. apakšsadaļā minēto noteikumu projekta spēkā stāšanās termiņu ar noteikumu projektu, kam attiecīgs spēkā stāšanās termiņš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papildināts ar spēkā stāšanās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akta projekta anotācijā norādītajam, tam nav ietekmes uz valsts un pašvaldību budžetiem, vienlaikus tas paredz virkni prasību, kuru izpildei Iekšlietu ministrijai būs nepieciešams papildu finansējums. Lūdzam norādīt tiesību akta projekta ietekmi uz valsts un pašvaldības budžetiem, identificējot arī resursu avotus tajā paredzēto prasību izpildes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arī pārējo </w:t>
            </w:r>
            <w:r w:rsidR="00000000" w:rsidRPr="00000000" w:rsidDel="00000000">
              <w:rPr>
                <w:i w:val="1"/>
                <w:rtl w:val="0"/>
              </w:rPr>
              <w:t xml:space="preserve">Eiropas Parlamenta un Padomes 2024. gada 24. aprīļa Direktīvas (ES) Nr. 2024/1275 par ēku energosniegumu</w:t>
            </w:r>
            <w:r w:rsidR="00000000" w:rsidRPr="00000000" w:rsidDel="00000000">
              <w:rPr>
                <w:rtl w:val="0"/>
              </w:rPr>
              <w:t xml:space="preserve"> normu pārņemšanu nacionālajā tiesību sistēmā, jo īpaši, bet ne tikai - arī 10. panta 1., 2. punkta, 3. punkta "a", "c", "d" un "e" apakšpunkta, 4. punkta pirmās un otrās daļas un 5. punkta, 13. panta 3., 4., 6., 7., 9., 10. punkta un 12. punkta otrās daļas, 14. panta 1., 4., 6.-9.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detalizētāk (atsevišķi skaidrojot 13. panta 1. punkta daļas) atspoguļojot minētās direktīvas 13. panta 1. punkta pārņemšanu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skaidrot, kādēļ ir vai nav izmantota minētās direktīvas rīcības brīvība, tostarp arī 10. panta 4. punkta trešajā daļā, 13. panta 1. punkta trešajā daļā, 2. punktā, 6. punkta ceturtajā daļā, 11. punkta otrajā daļā, 14. panta 2. punkta trešajā daļā, 3.,5. punktā u.c. paredzētā rīcības brīvība.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minētos jautājumus risinās direktīvas Nr. 2024/1275 transponēšanai sagatavotie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tas ir tehniski piemēroti, ekonomiski un funkcionāli īstenojami, tad nedzīvojamas ēkas tiek aprīkotas ar pašregulējošām ierīcēm gaisa temperatūras, relatīvā gaisa mitruma un gaisa apmaiņas (cirkulācijas) plūsmas ātruma atsevišķai regulēšanai katrā telpā (vides kvalitātes monitoringa sistēma) vai, ja tas ir pamatoti, telpu grupā, ja tiek mainīta ēkas apkures sistēmas daļa, kas ražo siltumenerģiju (siltumģenerators).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noteikumu projektu, nosakot atbildīgo subjektu, kura kompetencē būtu uzraudzīt un izvērtēt noteikumu projekta 1. punktā minēto prasību izpildi. Tāpat nepieciešams skaidri definēt institūciju, kas veiks pasākumu tehniskā, ekonomiskā un funkcionālā pamatojuma izvērtēšanu, kā arī noteikt pašvaldību tiesības lēmumu pieņemšanas procesā izmantot to energopārvaldības sistēmas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tālāka virzība ir pieļaujama tikai pēc visaptveroša izmaksu novērtējuma veikšanas un konkrētu finansēšanas mehānismu definēšanas. Anotācijā būtu precizējami finanšu avoti, kas nodrošinās izvirzīto prasību praktisku ieviešanu un ilgtspēju.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ņemot vērā esošā ēku fonda tehnisko stāvokli, piemēram, viencauruļu apkures sistēmu un novecojušu radiatoru īpatsvaru, universāla prasību piemērošana visām ēku grupām var nebūt prioritāra un ekonomiski pamatota. Ierosinām izvērtēt iespēju diferencēt prasības vai paredzēt izņēmumus gadījumos, kad tehnisko uzlabojumu veikšana nesniedz proporcionālu energoefektivitātes ieguvumu attiecībā pret nepieciešamajām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Punkts ir formulēts ar vairākiem nosacījumiem (“ja tas ir tehniski, ekonomiski un funkcionāli īstenojami”), kas praksē rada iespēju izvairīties no iekštelpu temperatūras regulēšanas ieviešanas. Turklāt vienā punktā apvienotas atšķirīgas ēkas sistēmas – apkure un ventilācija. Šim punktam ir jāpasaka, ka viencauruļu apkures sistēmas nav efektīvas un ir nepieciešama to nomaiņa pret efektīvākām. Tas ir izdevīgi iedzīvotājiem un ēku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iekštelpu temperatūras individuālu regulēšanu kā obligātu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ventilācijas gaisa apmaiņas regulēšanu izdalīt atsevišķā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terminoloģiju, aizstājot jēdzienu “pašregulējošas ierīces” ar tehnoloģiski precīzāku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Mainot siltuma ģeneratoru nekādi nesanāks to attiecināt uz pārējo ēku.  Gaisa temperatūru regulēt ir samērā vienkārši ar termoregulatoriem pie radiatoriem. Gaisa mitrināšanai ir vajadzīgas iekārtas. Arī gaisa daudzuma regulēšanai vajag papildus iekārtās un pārbūvēt ventilācijas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 Ēkās nodrošina iekštelpu gaisa temperatūras regulēšanas iespēju katrā telpā vai telpu grupā, izmantojot automātiski vai attālināti vadāmas regulēšanas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prasību ieviešanas lietderību un tehnisko izpildījumu novērtē sertificēts būvspeciālists vai neatkarīgais eksperts.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Nedzīvojamas ēkas aprīko ar pašregulējošām ierīcēm gaisa temperatūras, relatīvā gaisa mitruma un gaisa apmaiņas (cirkulācijas) plūsmas ātruma atsevišķai regulēšanai katrā telpā (vides kvalitātes monitoringa sistēma) vai telpu grupā, ja tiek mainīta ēkas apkures sistēmas daļa, kas ražo siltumenerģiju (siltumģenerators), ja tas ir tehniski piemēroti, ekonomiski un funkcionāli īstenojami.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piemēroti, ekonomiski un funkcionāli īstenojami, nodrošina automātisku apgaismojuma vadības ierīču uzstādīšanu.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korespondējošā direktīvas norma paredz kā priekšnoteikumu attiecīgajai nodrošināšanai: "ja tas ir tehniski un ekonomiski iespējams", tādēļ lūdzam izvērtēt un nepieciešamības gadījumā noteikumu projekta anotācijā pamatot plašāka izņēmuma noteikšanu attiecībā uz minētajiem priekšnoteikumiem vai precizēt noteikumu projekta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un ekonomiski īstenojami, nodrošina automātisku apgaismojuma vadības ierīču uzstādīšanu."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9.</w:t>
            </w:r>
            <w:r w:rsidR="00000000" w:rsidRPr="00000000" w:rsidDel="00000000">
              <w:rPr>
                <w:vertAlign w:val="superscript"/>
                <w:rtl w:val="0"/>
              </w:rPr>
              <w:t xml:space="preserve">1</w:t>
            </w:r>
            <w:r w:rsidR="00000000" w:rsidRPr="00000000" w:rsidDel="00000000">
              <w:rPr>
                <w:rtl w:val="0"/>
              </w:rPr>
              <w:t xml:space="preserve"> punkta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un ekonomiski īstenojami, nodrošina automātisku apgaismojuma vadības ierīču uzstādīšanu.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piemēroti, ekonomiski un funkcionāli īstenojami, nodrošina automātisku apgaismojuma vadības ierīču uzstādīšanu.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ietvertā prasība nodrošināt automātisku apgaismojuma vadības ierīču uzstādīšanu nedzīvojamās ēkās ir definēta vispārīgi, neietverot izvērstu izvērtējumu par plānoto pasākumu izmaksu efektivitāti un faktisko enerģijas ietaupījumu dažādos ēku tipos. Bez šāda izvērtējuma nav iespējams objektīvi pamatot noteiktā regulējuma samērīgumu, lietderību un tā ietekmi uz dažādu kategoriju ēku īpašniekiem vai pārvaldniekiem.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Formulējums pieļauj interpretāciju par prasības nepiemērošanu, kā arī nav skaidri noteikts, kuros gadījumos prasība stājas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w:t>
            </w:r>
            <w:r w:rsidR="00000000" w:rsidRPr="00000000" w:rsidDel="00000000">
              <w:rPr>
                <w:i w:val="1"/>
                <w:vertAlign w:val="superscript"/>
                <w:rtl w:val="0"/>
              </w:rPr>
              <w:t xml:space="preserve">1</w:t>
            </w:r>
            <w:r w:rsidR="00000000" w:rsidRPr="00000000" w:rsidDel="00000000">
              <w:rPr>
                <w:i w:val="1"/>
                <w:rtl w:val="0"/>
              </w:rPr>
              <w:t xml:space="preserve">. Uzstādot jaunus apgaismes ķermeņus vai nomainot esošos apgaismes ķermeņus pret jauniem, obligāti uzstāda automātiskas apgaismojuma vadības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Automātisku apgaismojuma vadības ierīču uzstādīšanas pamatotību nedzīvojamām ēkām novērtē sertificēts būvspeciālists vai neatkarīgais eksperts.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un ekonomiski īstenojami, nodrošina automātisku apgaismojuma vadības ierīču uzstādīšanu.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noteiktās prasības attiecībā uz automātisku apgaismojuma vadības ierīču uzstādīšanu nedzīvojamās ēkās izpilda sākot no 2027. gada 31. decembra attiecībā uz ēkām, kuru apkures sistēmas, gaisa kondicionēšanas sistēmas, kombinētās telpu apkures un ventilācijas sistēmas vai kombinētās gaisa kondicionēšanas un ventilācijas sistēmas lietderīgā nominālā jauda pārsniedz 290 kilovatus, un no 2029. gada 31. decembra attiecībā uz ēkām, kuru minēto sistēmu lietderīgā nominālā jauda pārsniedz 70 kilovatus.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kāda loģika izmantota nosakot to, ka apgaismojuma vadības ierīču nepieciešamība tiek noteikta atkarībā no tā, kādas ēkā ir apkures, gaisa kondicionēšanas un ventilācijas sistēmas. Pagadiām spēkā esošā MK noteikumu versija paaredz, ka lielās ēkas ar 290 kilovatu apkures, gaisa dzesēšanas un ventilācijas sistēmu jaudu aprīko ar ēkas automatizācijas un vadības sistēmu. Ar grozījumiem sanāk tā, ka tagad ēkas automatizācijas un vadības sitēmu vietā ēkā vajadzēs apgaismojuma sistēmas vadību, kas ir ievērojami zemāka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Apgaismojuma vadības ierīces atbilstoši direktīvai Nr. 2024/1275 ir daļa no ēkas automatizācijas un vadības sistēmas, tāpēc tās ir saistītas ar apkures un ventilācijas ierīču jaudu.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noteiktās prasības attiecībā uz automātisku apgaismojuma vadības ierīču uzstādīšanu nedzīvojamās ēkās izpilda sākot no 2027. gada 31. decembra attiecībā uz ēkām, kuru apkures sistēmas, gaisa kondicionēšanas sistēmas, kombinētās telpu apkures un ventilācijas sistēmas vai kombinētās gaisa kondicionēšanas un ventilācijas sistēmas lietderīgā nominālā jauda pārsniedz 290 kilovatus, un no 2029. gada 31. decembra attiecībā uz ēkām, kuru minēto sistēmu lietderīgā nominālā jauda pārsniedz 70 kilovatus.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noteiktās prasības attiecībā uz automātisku apgaismojuma vadības ierīču uzstādīšanu nedzīvojamās ēkās izpilda sākot no 2027. gada 31. decembra attiecībā uz ēkām, kuru apkures sistēmas, gaisa kondicionēšanas sistēmas, kombinētās telpu apkures un ventilācijas sistēmas vai kombinētās gaisa kondicionēšanas un ventilācijas sistēmas lietderīgā nominālā jauda pārsniedz 290 kilovatus, un no 2029. gada 31. decembra attiecībā uz ēkām, kuru minēto sistēmu lietderīgā nominālā jauda pārsniedz 70 kilovatus.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Norādām, ka noteiktie termiņi nav sasaistīti ar finansējuma pieejamību un pašvaldību investīciju plānošanas cikliem. Prasību izpilde lielā mērā ir atkarīga no Eiropas Savienības fondu pieejamības, līdz ar to nepieciešama elastīgāka pieeja vai sasaistes mehānisms ar finansējuma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Kāpēc apgaismojuma vadības ierīces tiek saistītas ar apkures un ventilācijas ierīču jaudu? Ja tas attiecas uz apgaismojumu, tad tam būtu jābūt saistītam ar apgaismojuma ierīču jaudu. 70kW ir robeža, kad visām pašvaldības ēkām būs jāuzstāda vadības sistēmas. Jau ar vienu uzstādīt apgaismojuma vadība sistēmu ir pietiekoši daudz problēmu. Uzstādīšana ir dārga un ekspluatācijā vajag papildus datorprogrammu licences un uzturēt datoru, kas to sistēmu vada. Tas drīzāk rada zaudējumus nevis ietaupījumu nodokļu maksātājiem. Saprotu, ka tādas sistēmas prasa izbūvēt jaunbūvēm, kur tam var saskatīt ekonomisko pamatojumu kā muzejā vai lielveikalos.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papildināt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pagarināt noteikto prasību izpildes termiņus vismaz par 3–5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ka tuvākajā periodā (piemēram, no 2027. gada) pilnā apjomā prasības attiecas tikai uz jaunbūvēm;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pakāpenisku ieviešanas grafiku, prioritāri uzlabojot ēkas ar zemāko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valsts līdzfinansējumu, izveidot mērķētas programmas Eiropas Savienības fondu ietvaros, kur pašvaldībām būtu iespējams apgūt finansējumu šo prasību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Apgaismojuma vadības ierīces tiek saistītas ar apkures un ventilācijas ierīču jaudu, jo tās ir daļa no ēkas automatizācijas un vadības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noteiktās prasības attiecībā uz automātisku apgaismojuma vadības ierīču uzstādīšanu nedzīvojamās ēkās izpilda sākot no 2027. gada 31. decembra attiecībā uz ēkām, kuru apkures sistēmas, gaisa kondicionēšanas sistēmas, kombinētās telpu apkures un ventilācijas sistēmas vai kombinētās gaisa kondicionēšanas un ventilācijas sistēmas lietderīgā nominālā jauda pārsniedz 290 kilovatus, un no 2029. gada 31. decembra attiecībā uz ēkām, kuru minēto sistēmu lietderīgā nominālā jauda pārsniedz 70 kilovatus.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Publiskās personas iestādes ēkās nodrošina piemērotu saules enerģijas iekārtu uzstādīšanu, ja tas ir tehniski piemēroti, ekonomiski un funkcionāli īstenojami.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pirms šādu prasību noteikšanas nepieciešams veikt publisko ēku enerģijas patēriņa analīzi un prioritizāciju, nosakot: (1) ēkas ar augstāko enerģijas patēriņu, (2) ēkas ar zemāko energoefektivitāti, (3) ēkas ar lielāko lietotāju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pašvaldības ar ieviestu energopārvaldības sistēmu šobrīd jau veic šādu analīzi un plāno pasākumus, tādēļ lūdzam nodrošināt, ka regulējums ir saskaņots ar energopārvaldības sistēmu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daudzās ēkās energoefektivitātes pasākumi jau ir veikti, un papildu investīcijas (piemēram, saules paneļi) ne vienmēr ir ekonomiski pamatotas, kā arī nepieciešams izvērtēt kultūrvēsturisko ēku aizsardzības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Būtiska problēma var izrādīties jumta nestspēja un plakano jumtu siltinājums un, lai pierādītu ekonomisko (ne)pamatojumu, būvkonstruktoram ir jāveic nestspējas aprēķini, kas arī ir maksas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apsvērt, vai būtu jādefinē jēdziens “saules enerģijas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minētos jautājumus risinās direktīvas Nr. 2024/1275 transponēšanai izstrādātais Ēku atjaunošanas plāns un sagatavotie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 sektora subjekta ēkās nodrošina piemērotu saules enerģijas iekārtu uzstādīšanu, ja tas ir tehniski piemēroti, ekonomiski un funkcionāli īstenojami.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noteikto pienākumu publiskās personas iestādes ēkās nodrošināt piemērotu saules enerģijas iekārtu uzstādīšanu izpilda līdz 2027. gada 31. decembrim attiecībā uz ēkām, kuru lietderīgā grīdas platība pārsniedz 2000 m</w:t>
            </w:r>
            <w:r w:rsidR="00000000" w:rsidRPr="00000000" w:rsidDel="00000000">
              <w:rPr>
                <w:vertAlign w:val="superscript"/>
                <w:rtl w:val="0"/>
              </w:rPr>
              <w:t xml:space="preserve">2</w:t>
            </w:r>
            <w:r w:rsidR="00000000" w:rsidRPr="00000000" w:rsidDel="00000000">
              <w:rPr>
                <w:rtl w:val="0"/>
              </w:rPr>
              <w:t xml:space="preserve">, līdz 2028. gada 31. decembrim – attiecībā uz ēkām, kuru lietderīgā grīdas platība pārsniedz 750 m</w:t>
            </w:r>
            <w:r w:rsidR="00000000" w:rsidRPr="00000000" w:rsidDel="00000000">
              <w:rPr>
                <w:vertAlign w:val="superscript"/>
                <w:rtl w:val="0"/>
              </w:rPr>
              <w:t xml:space="preserve">2</w:t>
            </w:r>
            <w:r w:rsidR="00000000" w:rsidRPr="00000000" w:rsidDel="00000000">
              <w:rPr>
                <w:rtl w:val="0"/>
              </w:rPr>
              <w:t xml:space="preserve">, un līdz 2030. gada 31. decembrim – attiecībā uz ēkām, kuru lietderīgā grīdas platība pārsniedz 250 m</w:t>
            </w:r>
            <w:r w:rsidR="00000000" w:rsidRPr="00000000" w:rsidDel="00000000">
              <w:rPr>
                <w:vertAlign w:val="superscript"/>
                <w:rtl w:val="0"/>
              </w:rPr>
              <w:t xml:space="preserve">2</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ko MK noteikumu grozījumu autori saprot ar terminu "piemērota saules enerģijas iekārta". Šāds termins ir ļoti plaši interpretējams un obligāti nepieciešama precīza šī termina definīcija.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minēto jautājumu risinās direktīvas Nr. 2024/1275 transponēšanai sagatavotie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noteikto pienākumu publiskā sektora subjekta ēkās nodrošināt piemērotu saules enerģijas iekārtu uzstādīšanu izpilda līdz 2027. gada 31. decembrim attiecībā uz ēkām, kuru kopējā platība pārsniedz 2000 m</w:t>
            </w:r>
            <w:r w:rsidR="00000000" w:rsidRPr="00000000" w:rsidDel="00000000">
              <w:rPr>
                <w:vertAlign w:val="superscript"/>
                <w:rtl w:val="0"/>
              </w:rPr>
              <w:t xml:space="preserve">2</w:t>
            </w:r>
            <w:r w:rsidR="00000000" w:rsidRPr="00000000" w:rsidDel="00000000">
              <w:rPr>
                <w:rtl w:val="0"/>
              </w:rPr>
              <w:t xml:space="preserve">, līdz 2028. gada 31. decembrim – attiecībā uz ēkām, kuru kopējā platība pārsniedz 750 m</w:t>
            </w:r>
            <w:r w:rsidR="00000000" w:rsidRPr="00000000" w:rsidDel="00000000">
              <w:rPr>
                <w:vertAlign w:val="superscript"/>
                <w:rtl w:val="0"/>
              </w:rPr>
              <w:t xml:space="preserve">2</w:t>
            </w:r>
            <w:r w:rsidR="00000000" w:rsidRPr="00000000" w:rsidDel="00000000">
              <w:rPr>
                <w:rtl w:val="0"/>
              </w:rPr>
              <w:t xml:space="preserve">, un līdz 2030. gada 31. decembrim – attiecībā uz ēkām, kuru kopējā platība pārsniedz 250 m</w:t>
            </w:r>
            <w:r w:rsidR="00000000" w:rsidRPr="00000000" w:rsidDel="00000000">
              <w:rPr>
                <w:vertAlign w:val="superscript"/>
                <w:rtl w:val="0"/>
              </w:rPr>
              <w:t xml:space="preserve">2</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noteikto pienākumu publiskās personas iestādes ēkās nodrošināt piemērotu saules enerģijas iekārtu uzstādīšanu izpilda līdz 2027. gada 31. decembrim attiecībā uz ēkām, kuru lietderīgā grīdas platība pārsniedz 2000 m</w:t>
            </w:r>
            <w:r w:rsidR="00000000" w:rsidRPr="00000000" w:rsidDel="00000000">
              <w:rPr>
                <w:vertAlign w:val="superscript"/>
                <w:rtl w:val="0"/>
              </w:rPr>
              <w:t xml:space="preserve">2</w:t>
            </w:r>
            <w:r w:rsidR="00000000" w:rsidRPr="00000000" w:rsidDel="00000000">
              <w:rPr>
                <w:rtl w:val="0"/>
              </w:rPr>
              <w:t xml:space="preserve">, līdz 2028. gada 31. decembrim – attiecībā uz ēkām, kuru lietderīgā grīdas platība pārsniedz 750 m</w:t>
            </w:r>
            <w:r w:rsidR="00000000" w:rsidRPr="00000000" w:rsidDel="00000000">
              <w:rPr>
                <w:vertAlign w:val="superscript"/>
                <w:rtl w:val="0"/>
              </w:rPr>
              <w:t xml:space="preserve">2</w:t>
            </w:r>
            <w:r w:rsidR="00000000" w:rsidRPr="00000000" w:rsidDel="00000000">
              <w:rPr>
                <w:rtl w:val="0"/>
              </w:rPr>
              <w:t xml:space="preserve">, un līdz 2030. gada 31. decembrim – attiecībā uz ēkām, kuru lietderīgā grīdas platība pārsniedz 250 m</w:t>
            </w:r>
            <w:r w:rsidR="00000000" w:rsidRPr="00000000" w:rsidDel="00000000">
              <w:rPr>
                <w:vertAlign w:val="superscript"/>
                <w:rtl w:val="0"/>
              </w:rPr>
              <w:t xml:space="preserve">2</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norādītās redakcijas, secinām, ka prasību ieviešanas pieeja balstīta uz ēku platību, nevis energoefektivitātes prioritātēm. Lūdzam apsvērt pāreju uz pieeju, kur primāri tiek identificētas neefektīvākās ēkas un investīcijas tiek koncentrētas tajās.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 ka pašvaldībās ar ieviestu energopārvaldības sistēmu jau ir noteikti investīciju plāni, kas būtu ņemami vērā, paredzot izņēmumus vai elastību šo prasību piemērošanā. Tāpēc lūdzam grozījumos ietvert nosacījumu, ka uz pašvaldībām, kurās ir ieviesta energopārvaldības sistēma, šo noteikumu grozījumos ietvertās prasības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Paralēli ierosinām visās pašvaldībās veikt visu pašvaldību iestāžu ēku revīziju, nosakot pašvaldības iestāžu ēku vidējo īpatnējo siltumenerģijas (ar laikapstākļu korekciju) un elektroenerģijas patēriņu, prasību ieviešanai liekot uzsvaru uz objektiem, kuros tas ir acīmredzami nepieciešams un ekonomiski pamatoti veikt energoefektivitātes paaugstināšanas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10.1. un 10.2. apakšpunktiem kopumā - prasības nav izpildāmas noteiktajos termiņos, nav ņemti vērā kultūrvēsturisko ēku ierobežojumi, nav skaidri definēti kritēriji “ekonomiskai pamatotībai”.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apvienot punktus un noteikt vienotu, reālistisku termiņu. Paredzēt izņēmumus vēsturiskām ēkām.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apvienotā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Publiskās personas iestāžu ēkās, izņemot kultūrvēsturiskos objektus, nodrošina piemērotu saules enerģijas iekārtu uzstādīšanu vai ēkas sagatavošanu saules enerģijas iekārtu uzstādīšanai (solar‑ready), ja tas ir tehniski un funkcionāli iespējams. Prasību izpilda līdz 2031.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ēka ir kultūrvēsturiskais objekts, tad projekta 10.</w:t>
            </w:r>
            <w:r w:rsidR="00000000" w:rsidRPr="00000000" w:rsidDel="00000000">
              <w:rPr>
                <w:vertAlign w:val="superscript"/>
                <w:rtl w:val="0"/>
              </w:rPr>
              <w:t xml:space="preserve">1</w:t>
            </w:r>
            <w:r w:rsidR="00000000" w:rsidRPr="00000000" w:rsidDel="00000000">
              <w:rPr>
                <w:rtl w:val="0"/>
              </w:rPr>
              <w:t xml:space="preserve"> punktā noteiktās prasības uz to nav attiecināmas atbilstoši Ēku energoefektivitātes likuma 3. panta otrajai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noteikto pienākumu publiskā sektora subjekta ēkās nodrošināt piemērotu saules enerģijas iekārtu uzstādīšanu izpilda līdz 2027. gada 31. decembrim attiecībā uz ēkām, kuru kopējā platība pārsniedz 2000 m</w:t>
            </w:r>
            <w:r w:rsidR="00000000" w:rsidRPr="00000000" w:rsidDel="00000000">
              <w:rPr>
                <w:vertAlign w:val="superscript"/>
                <w:rtl w:val="0"/>
              </w:rPr>
              <w:t xml:space="preserve">2</w:t>
            </w:r>
            <w:r w:rsidR="00000000" w:rsidRPr="00000000" w:rsidDel="00000000">
              <w:rPr>
                <w:rtl w:val="0"/>
              </w:rPr>
              <w:t xml:space="preserve">, līdz 2028. gada 31. decembrim – attiecībā uz ēkām, kuru kopējā platība pārsniedz 750 m</w:t>
            </w:r>
            <w:r w:rsidR="00000000" w:rsidRPr="00000000" w:rsidDel="00000000">
              <w:rPr>
                <w:vertAlign w:val="superscript"/>
                <w:rtl w:val="0"/>
              </w:rPr>
              <w:t xml:space="preserve">2</w:t>
            </w:r>
            <w:r w:rsidR="00000000" w:rsidRPr="00000000" w:rsidDel="00000000">
              <w:rPr>
                <w:rtl w:val="0"/>
              </w:rPr>
              <w:t xml:space="preserve">, un līdz 2030. gada 31. decembrim – attiecībā uz ēkām, kuru kopējā platība pārsniedz 250 m</w:t>
            </w:r>
            <w:r w:rsidR="00000000" w:rsidRPr="00000000" w:rsidDel="00000000">
              <w:rPr>
                <w:vertAlign w:val="superscript"/>
                <w:rtl w:val="0"/>
              </w:rPr>
              <w:t xml:space="preserve">2</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Ēkas automatizācijas un vadības sistēma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grozījumos tiek piedāvāts izņemt ārā prasību uzstādīt ēkas automatizācijas un vadības sistēmu uzstādīšanas nepieciešamību un to piedāvā aizstāt ar apgaismojuma vadības sistēmu. Attiecīgi tagad 11.punkts būtu arī aizstājams ar apgaismojuma vadības sistēmas aprakstu. Kāda jēga atstāt aprakstu par to, kas ir ēkas automatizācijas un vadības sistēma, ja nekur citur grozītajos noteikumos šāds termins netiek lietots un prasība uzstādīt šādas sistēmas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ir grozīts, lai pārņemtu tam saistošās direktīvas Nr. 2024/1275 prasības par automātisku apgaismojuma vadības ierīču uzstādīšanu noteiktajās ēkās, kā rezultātā noteikumos ir ieviests jauns 9.</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 ēkas automatizācijas un vadības sistēmas esamību, kuras prasības ir noteiktas minētajā 11. punktā, ir noteikta noteikumu projekta 9.punktā, un tagad ir papildināta ar prasību par vides kvalitātes monitoringa sistēmu. Norādām, ka norma par ēkas automatizācijas un vadības sistēmu ekspluatācijā nodotai nedzīvojamai ēkai, kuras lietderīgā nominālā jauda apkures sistēmas vai apvienotas apkures un ventilācijas sistēmas vajadzībām vai arī gaisa kondicionēšanas sistēmas vai apvienotas gaisa kondicionēšanas un ventilācijas sistēmas vajadzībām pārsniedz 290 kilovatus, bija jāievieš līdz 2025.gada 1.janvārim.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Ēkas automatizācijas un vadības sistēma nodrošina: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Līdz 2027. gada 1. janvārim nedzīvojamā ēkā ar vairāk nekā 20 autostāvvietām ierīko: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(Lidl Latvija SIA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dalībvalstīm ir noteikts pienākums transponēt Eiropas Parlamenta un Padomes Direktīvu (ES) 2024/1275 par ēku energosniegumu (turpmāk – EPBD) un paralēli šo noteikumu projekta izstrādei tiek izstrādāti arī grozījumi Ministru kabineta 2021. gada 19. oktobra noteikumos Nr. 693 "Būvju vispārīgo prasību būvnormatīvs LBN 200-21" (25-TA-1187), mūsu ieskatā EPBD transponēšanā būtu ievērojama konsekventa pieeja, saskaņojot noteikumos ietvertās prasības, kas būtu attiecināmas gan uz būvniecības procesu, gan uz esošajām ēkām. Konsekventa pieeja nodrošinātu tiesiskās noteiktības principa ievērošanu attiecībā uz tiesību normām par ēku energoefektivitāti. Ņemot vērā minēto, ierosinām iekļaut šo noteikumu projektā arī esošajām ēkām tādus pašus izņēmumus, kādi ir paredzēti būvniecības procesā, attiecīgi papildinot šo noteikumu projektu ar jauniem punktiem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Šo noteikumu 12.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4</w:t>
            </w:r>
            <w:r w:rsidR="00000000" w:rsidRPr="00000000" w:rsidDel="00000000">
              <w:rPr>
                <w:rtl w:val="0"/>
              </w:rPr>
              <w:t xml:space="preserve"> Šo noteikumu 12.2. 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5</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12.1. apakšpunktā minēto uzlādes punktu skaitu var samazināt uzstādot vienu vai vairākus lieljaudas uzlādes punktus, vienlaikus nodrošinot, ka attiecīgajā vietā visu uzlādes punktu jaudu summa sakrīt vai pārsniedz jaudu, kādu nodrošinātu 12.1.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6</w:t>
            </w:r>
            <w:r w:rsidR="00000000" w:rsidRPr="00000000" w:rsidDel="00000000">
              <w:rPr>
                <w:rtl w:val="0"/>
              </w:rPr>
              <w:t xml:space="preserve">  Ja pastāv kopējā tīkla ierobežojumi vai ir grūti prognozēt ar iepriekš ierīkotu kabeļu ierīkošanu saistītās tālākās faktiskās vajadzības, tad šo noteikumu 12.1. apakšpunktā minēto kabeļu iepriekšēju ierīkošanu pieļaujams aizstāt ar kabeļkanāliem ar ievilcējvadu, kabeļrenēm iekštelpu autostāvvietās un zonās bez cietā seguma un uzlādes punktu balstiem āra autostāvvietās.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piedāvātajiem punktiem, ciktāl tie ir attiecināmi uz ekspluatācijā nodotām ēkām ar stāvvietām ēkas iekšējā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Līdz 2027. gada 1. janvārim nedzīvojamā ēkā ar vairāk nekā 20 autostāvvietām ierīko: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vismaz vienu elektrotransportlīdzekļu uzlādes punktu uz 10 autostāvvietām vai ierīko kabeļkanālus vismaz 50 % automašīnu stāvvietām;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uzstādīt tukšus kabeļkanālus, kurus nekad iespējams nelietos, ir ļoti nesaprotama. Šīs prasības izpilde var būt ļoti dārga un nepamatota.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prasības piemērošanas izņēmuma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vismaz vienu elektrotransportlīdzekļu uzlādes punktu uz 10 autostāvvietām vai ierīko kabeļkanālus vismaz 50 % automašīnu stāvvietām;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velosipēdu stāvvietas, kas veido vismaz 15 % no ēkas vidējās lietotāju kapacitātes vai 10 % no kopējās lietotāju kapacitātes, paredzot vietu arī lielāka izmēra velosipēdiem nekā standarta velosipēdi.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skadri saprotams, kas ir "ēkas vidējā lietotāju kapacitāte" un "kopējā lietotāju kapacitāte".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"kopējā lietotāju kapacitāte" skaidrojumu. Norma pielāgota arī sagatavoto grozījumu Ministru kabineta 2021. gada 19. oktobra noteikumos Nr. 693 "Būvju vispārīgo prasību būvnormatīvs LBN 200-21"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velosipēdu stāvvietas, kas veido vismaz 10 % no kopējās lietotāju kapacitātes, paredzot vietu arī lielāka izmēra velosipēdiem nekā standarta velosipēdi.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Līdz 2033. gada 1. janvārim nedzīvojamā ēkā, kas ir publiskās personas iestādes īpašumā, ierīko kabeļus vismaz 50 % automašīnu stāvvietām.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ir prasība ierīkot kabeļus vai kabeļkanālus, ja nav prasības ierīkot uzlādes vietas. Tas principā nozīmē, ka obligāti jāizterē finansējums, kas pēc tam var arī tikt lietderīgi neizmantots, ja netiek uzstādītas pašas elektroauto uzlādes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12.punkta prasības piemērošanas izņēmuma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Līdz 2033. gada 1. janvārim nedzīvojamā ēkā, kas ir publiskā sektora subjekta valdījumā, ierīko kabeļus vismaz 50 % automašīnu stāvvietām.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Individuāliem skaitītājiem, kas mēra mājsaimniecības karstā ūdens patēriņu katrā ēkas vienībā, kas ir uzstādīti pirms 2025. gada 12. oktobra un nav attālināti nolasāmi, līdz 2027. gada 1. janvārim nodrošina attālinātu nolasāmību vai tos aizstāj ar attālināti nolasāmiem, ja tas ir ekonomiski pamatoti.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prasību tam atvēlētajā termiņā nav iespējams izdarīt. Pēc kādas metodikas jānosaka, vai šī pasākuma veikšana ir ekonomiski pamatota?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ekonomisko pamatotību novērtē sertificēts būvspeciālists vai neatkarīgais eksperts.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Individuāliem skaitītājiem, kas mēra mājsaimniecības karstā ūdens patēriņu katrā ēkas vienībā, kas ir uzstādīti pirms 2025. gada 12. oktobra un nav attālināti nolasāmi, līdz 2027. gada 1. janvārim nodrošina attālinātu nolasāmību vai tos aizstāj ar attālināti nolasāmiem, ja tas ir ekonomiski pamatoti.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Ēku energoefektivitātes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pret 12 punktu LPS uzsver, ka Direktīvas pārņemšanai Latvijā jānotiek, ievērojot subsidiaritātes un samērīguma principus, neieviešot stingrākas prasības nekā Direktīva to prasa.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2024/1275 prasības pārņemšanai stingrāki nosacījumi nav noteikti.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2020. gada 10. decembra noteikumos Nr. 730 "Ekspluatējamu ēku energoefektivitātes minimālās prasības" (Latvijas Vēstnesis, 2020, 242. nr.; 2025, 22.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Papildināt ar 10.</w:t>
            </w:r>
            <w:r w:rsidR="00000000" w:rsidRPr="00000000" w:rsidDel="00000000">
              <w:rPr>
                <w:i w:val="1"/>
                <w:vertAlign w:val="superscript"/>
                <w:rtl w:val="0"/>
              </w:rPr>
              <w:t xml:space="preserve">1 </w:t>
            </w:r>
            <w:r w:rsidR="00000000" w:rsidRPr="00000000" w:rsidDel="00000000">
              <w:rPr>
                <w:i w:val="1"/>
                <w:rtl w:val="0"/>
              </w:rPr>
              <w:t xml:space="preserve">punktu šādā redakcijā:</w:t>
            </w:r>
            <w:r w:rsidR="00000000" w:rsidRPr="00000000" w:rsidDel="00000000">
              <w:rPr>
                <w:i w:val="1"/>
                <w:rtl w:val="0"/>
              </w:rPr>
              <w:t xml:space="preserve">"10.1 Publiskās personas iestādes ēkās nodrošina piemērotu saules enerģijas iekārtu uzstādīšanu, ja tas ir tehniski piemēroti, ekonomiski un funkcionāli īstenojami."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un vienlīdzīgu attieksmi, attiecībā uz saules enerģijas iekārtu uzstādīšanu publiskās personas iestādes ēkās nepieciešams attiecināt tādus pašus izņēmumus, kādi paredzēti saskaņošanas stadijā esošajā tiesību aktu projektā “Grozījumi Ministru kabineta 2021. gada 19. oktobra noteikumos Nr. 693 “Būvju vispārīgo prasību būvnormatīvs LBN 200-21” (tiesību akta lieta 25-TA-1187), kuru 1.6. apakšpunktā ietvertais noteikumu 130.</w:t>
            </w:r>
            <w:r w:rsidR="00000000" w:rsidRPr="00000000" w:rsidDel="00000000">
              <w:rPr>
                <w:vertAlign w:val="superscript"/>
                <w:rtl w:val="0"/>
              </w:rPr>
              <w:t xml:space="preserve">20</w:t>
            </w:r>
            <w:r w:rsidR="00000000" w:rsidRPr="00000000" w:rsidDel="00000000">
              <w:rPr>
                <w:rtl w:val="0"/>
              </w:rPr>
              <w:t xml:space="preserve"> punkts paredz daudz plašākus izņēmumus, kad prasību par saules enerģijas sistēmu uzstādīšanu nepiemēro.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jaunu 10.</w:t>
            </w:r>
            <w:r w:rsidR="00000000" w:rsidRPr="00000000" w:rsidDel="00000000">
              <w:rPr>
                <w:vertAlign w:val="superscript"/>
                <w:rtl w:val="0"/>
              </w:rPr>
              <w:t xml:space="preserve">3</w:t>
            </w:r>
            <w:r w:rsidR="00000000" w:rsidRPr="00000000" w:rsidDel="00000000">
              <w:rPr>
                <w:rtl w:val="0"/>
              </w:rPr>
              <w:t xml:space="preserve"> punktu par atkāpēm no prasības piemērošanas. Nosacījumi attiecībā uz  saules enerģijas iekārtu uzstādīšanas tehnisku piemērotību, ekonomisku un funkcionālu īstenošanu būs noteikti grozījumos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tiesiskais regulējums ietekmē fiziskās un juridiskas personas, aicinām veikt novērtējumu anotācijas sadaļās 2.4. Administratīvā sloga novērtējums fiziskām personām un 2.5. Atbilstības izmaksu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publiskās personas iestāde šo noteikumu izpratnē ir valsts, reģionālās vai vietējās iestādes un subjekti, ko minētā iestāde tieši finansē un pārvalda, bet kam nav rūpnieciska vai komerciāla rakstura. Saistībā ar minēto vēršam uzmanību, ka termins "publiskas personas iestāde" lietots (termini "publiskas personas" un "iestāde" skaidroti šajā likumā) Valsts pārvaldes iekārtas likumā, par ko nav gūstama pārliecība, ka noteikumu projekta anotācijā minētajam terminam būtu atbilstošs tvērums. Ievērojot minēto, lai izslēgtu interpretācijas iespējas attiecībā uz termina "publiskas personas iestādes" tvērumu un, ievērojot to, ka anotācijā sniegtajai informācijai nav juridiski saistoša spēka, aicinām noteikumu projektā, ja tas nepieciešams un atbilst Energoefektivitātes likumā noteiktajam, precīzāk noteikt, uz kādiem konkrēti subjektiem attiecināmas noteikumu projekta prasības, izmantojot Valsts pārvaldes iekārtas likumā un, ja attiecināms, citos likumos (piem., Publiskas personas kapitāla daļu un kapitālsabiedrību pārvaldības likumā)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projekts un tā anotācija, lietojot terminu "publiskā sektora subjekts".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 norādīto anotācijas apakšnodaļu, ņemot vērā finansiālo ietekmi uz fiziskām un juridiskām personām, ko šis tiesību akta projekts radīs. Šobrīd ietekmes aprakstā vispār netiek apskatītas finansiālās ietekmes galvenās pozīcijas attiecībā uz fiziskām un juridiskām personām. Piemēram skatīt tiesību akta lietas 25-TA-1187 attiecīgo anotācijas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iekļaut jaunu punktu – fosilā kurināmā apkures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Direktīva (ES) 2024/1275 paredz pakāpenisku fosilā kurināmā apkures iekārtu izskaušanu un jau no 2025. gada aizliedz to stimulēšanu.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“Sākot ar 2029. gada 31. decembri, aizliegta jaunu fosilā kurināmā apkures un karstā ūdens sagatavošanas katlu uzstādīšana visos ēku tipos, izņemot gadījumus, ja tiek nodrošināts pārejas risinājums saskaņā ar nacionālo enerģētikas politiku.”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ir ārpus direktīvas Nr. 2024/1275 tvēruma - tā nenosaka šādu ierobežojumu esošām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iekļaut jaunu punktu par “solar‑ready”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“Atjaunojot ēkas jumta segumu, nodrošina ēkas sagatavošanu saules enerģijas iekārtu uzstādīšanai, paredzot nesošās konstrukcijas, montāžas punktus un kabeļu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projekta tvērumā, jo piedāvātā norma ir projektēšanas norma.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noteikumu projektu ar atsauci uz Direktīvu (ES) 2024/1275, nodrošinot normatīvā regulējuma tiesisko 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Skaidrs, konsekvents un tehniski pamatots regulējums ir būtisks priekšnoteikums ēku fonda dekarbonizācijas mērķu sasniegšanai līdz 2050.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informatīvās atsauces 6.punktu.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Ekspluatējamu ēku energoefektivitātes minimālās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tas ir tehniski piemēroti, ekonomiski un funkcionāli īstenojami, tad nedzīvojamas ēkas tiek aprīkotas ar pašregulējošām ierīcēm gaisa temperatūras, relatīvā gaisa mitruma un gaisa apmaiņas (cirkulācijas) plūsmas ātruma atsevišķai regulēšanai katrā telpā (vides kvalitātes monitoringa sistēma) vai, ja tas ir pamatoti, telpu grupā, ja tiek mainīta ēkas apkures sistēmas daļa, kas ražo siltumenerģiju (siltumģenerators).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šī punkta redakcija nav labi saprotama. Pagaidām spēkā esošā 9.punkta redakcija skaidri atrunā, ka jāuzstāda telpu gaisa temperatūras regulēšanas ierīces tām telpām, kur tiek mainīta apkures sistēmas daļa, kas ražo siltumenerģiju. Šajos grozījumos piedāvātajā 9.punkta redakcijā var interpretēt, ka telpu grupā, kur tiek mainīta tā apkures sistēmas daļa, kas ražo siltumenerģiju, ir jāuzstāda gan telpu gaisa temperatūras, gan telpu gaisa relatīvā mitrums, gan gaisa apmaiņas plūsmas ātruma regulēšanas ierīces, kas pēc būtības nav loģiski.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ēkas aprīkot ar relatīvā gaisa mitruma un gaisa apmaiņas plūsmas ātruma regulēšanas iekārtām praktiski varēs tikai veicot jaunbūvju izbūvi, bet esošās ēkās tas ir ļoti sarežģīti.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Lietotais termins "ekonomiski un funkcionāli īstenojami" ir dažādi interpretējams un nav viennozīmīgi saprotams. Nepieciešams skaidri noteikt, ko nozīmē "ekonomiski īstenojams". Kāda ir izmantojamā ekonomiskā pamatojuma aprēķina metodika un aprēķinu ievaddatu vērtības (piemēram, aprēķina perioda ilgums).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pārformulēts ērtākai uztveramībai.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Veicamo darbību pamatotību un lietderību novērtē sertificēts būvspeciālists vai neatkarīgais eksperts.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Nedzīvojamas ēkas aprīko ar pašregulējošām ierīcēm gaisa temperatūras, relatīvā gaisa mitruma un gaisa apmaiņas (cirkulācijas) plūsmas ātruma atsevišķai regulēšanai katrā telpā (vides kvalitātes monitoringa sistēma) vai telpu grupā, ja tiek mainīta ēkas apkures sistēmas daļa, kas ražo siltumenerģiju (siltumģenerators), ja tas ir tehniski piemēroti, ekonomiski un funkcionāli īstenojami.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piemēroti, ekonomiski un funkcionāli īstenojami, nodrošina automātisku apgaismojuma vadības ierīču uzstādīšanu.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Energoauditoru asociācija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skaidri definēt, kā var noteikt vai pasākumu īstenošana ekonomiski un funkcionāli īstenojami.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 ar norādi, ka jauno prasību ieviešanas lietderības novērtēšana ir sertificēta būvspeciālista vai neatkarīga eksperta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Nedzīvojamām ēkām, ja tas ir tehniski un ekonomiski īstenojami, nodrošina automātisku apgaismojuma vadības ierīču uzstādīšanu.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Publiskās personas iestādes ēkās nodrošina piemērotu saules enerģijas iekārtu uzstādīšanu, ja tas ir tehniski piemēroti, ekonomiski un funkcionāli īstenojami.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vienotu terminu - "publiskā sektora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 sektora subjekta ēkās nodrošina piemērotu saules enerģijas iekārtu uzstādīšanu, ja tas ir tehniski piemēroti, ekonomiski un funkcionāli īstenojami.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Publiskās personas iestādes ēkās nodrošina piemērotu saules enerģijas iekārtu uzstādīšanu, ja tas ir tehniski piemēroti, ekonomiski un funkcionāli īstenojami.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skaidrību, aicinām iekļaut detalizētu skaidrojumu un papildināt - kas var veikt un kā veicams novērtējums par tehnisko piemērotību, ekonomisko un funkcionālo īstenojamību.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 par sertificēta būvspeciālista un neatkarīga eksperta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Publiskā sektora subjekta ēkās nodrošina piemērotu saules enerģijas iekārtu uzstādīšanu, ja tas ir tehniski piemēroti, ekonomiski un funkcionāli īstenojami.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tiešsaisti ar ēkas inženiertehnisko sistēmu un spēju veikt funkcijas neatkarīgi no inženiertehniskās sistēmas sastāvdaļu ražotāja;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definēta nodrošināmā funkcionalitāte.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“11.3. savietojamību ar ēkas inženiertehniskajām sistēmām, izmantojot atvērtus komunikācijas protokolus un nodrošinot neatkarību no konkrēta iekārtu ražotāja.”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11.3. apakšpunkts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savietojamību ar ēkas inženiertehniskajām sistēmām, izmantojot atvērtus komunikācijas protokolus un nodrošinot neatkarību no konkrēta iekārtu ražotāja;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iekštelpu vides kvalitātes monitoringu.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“11.4. iekštelpu vides kvalitātes monitoringu, nodrošinot vismaz gaisa temperatūras, relatīvā mitruma, CO₂ koncentrācijas un, ja piemērojams, gaistošo organisko savienojumu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iekštelpu vides kvalitātes monitoringu, nodrošinot vismaz gaisa temperatūras, relatīvā mitruma un CO</w:t>
            </w:r>
            <w:r w:rsidR="00000000" w:rsidRPr="00000000" w:rsidDel="00000000">
              <w:rPr>
                <w:vertAlign w:val="subscript"/>
                <w:rtl w:val="0"/>
              </w:rPr>
              <w:t xml:space="preserve">2</w:t>
            </w:r>
            <w:r w:rsidR="00000000" w:rsidRPr="00000000" w:rsidDel="00000000">
              <w:rPr>
                <w:rtl w:val="0"/>
              </w:rPr>
              <w:t xml:space="preserve"> koncentrācijas uzraudzību.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Līdz 2027. gada 1. janvārim nedzīvojamā ēkā ar vairāk nekā 20 autostāvvietām ierīko: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pieļauj uzlādes punktu faktisku neuzstādīšanu, kā arī neņem vērā ēku funkcionālo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skaidri nodalīt uzlādes punktus un kabeļu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velosipēdu stāvvietu skaitu noteikt elastīgi.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pagarināt noteikto prasību izpildes termiņus vismaz par 3–5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ka tuvākajā periodā (piemēram, no 2027. gada) pilnā apjomā prasības attiecas tikai uz jaunbūvēm;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pakāpenisku ieviešanas grafiku, prioritāri uzlabojot ēkas ar zemāko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valsts līdzfinansējumu, izveidot mērķētas programmas Eiropas Savienības fondu ietvaros, kur pašvaldībām būtu iespējams apgūt finansējumu šo prasību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Līdz 2027. gada 1. janvārim nedzīvojamā ēkā ar vairāk nekā 20 autostāvvietām ierīko: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velosipēdu stāvvietas, kas veido vismaz 15 % no ēkas vidējās lietotāju kapacitātes vai 10 % no kopējās lietotāju kapacitātes, paredzot vietu arī lielāka izmēra velosipēdiem nekā standarta velosipēdi.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būtu jāprecizē, jo pie skolām vajag vismaz 50% skolnieku kur pieslēgt velosipēdu. Pie administratīvajām ēkām 10% jau izskatās par daudz.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ēku tipus, uz kuriem veloinfrastruktūras prasības neattiecas, un novērst normu 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nosakot izņēmumus 12.punkta piemērošanai saskaņoti ar ar tiesību aktu projektā “Grozījumi Ministru kabineta 2021. gada 19. oktobra noteikumos Nr. 693 “Būvju vispārīgo prasību būvnormatīvs LBN 200-21” veiktajiem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prasība ir noteikta direktīvā Nr. 2024/1275, un nav grozāma.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velosipēdu stāvvietas, kas veido vismaz 10 % no kopējās lietotāju kapacitātes, paredzot vietu arī lielāka izmēra velosipēdiem nekā standarta velosipēdi.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noteiktā prasība par vietu skaitu velosipēdu stāvvietā neattiecas uz tām nedzīvojamām ēkām, kurām parasti ar velosipēdu nepiekļūst.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iesakām noteikumu projekta anotācijā skaidrot (nepieciešamības gadījumā - piemērveidā), kādām nedzīvojamām ēkām parasti ar velosipēdu nepiekļūst. Vienlaikus vēršam uzmanību, ka korespondējošajā direktīvas vienībā norādīts, ka dalībvalsts var noteikt attiecīgu ēku </w:t>
            </w:r>
            <w:r w:rsidR="00000000" w:rsidRPr="00000000" w:rsidDel="00000000">
              <w:rPr>
                <w:u w:val="single"/>
                <w:rtl w:val="0"/>
              </w:rPr>
              <w:t xml:space="preserve">kategorijas</w:t>
            </w:r>
            <w:r w:rsidR="00000000" w:rsidRPr="00000000" w:rsidDel="00000000">
              <w:rPr>
                <w:rtl w:val="0"/>
              </w:rPr>
              <w:t xml:space="preserve">, tādēļ lūdzam arī izvērtēt, vai noteikumu projektā nav jānorāda konkrētu veidu kategorijas, ja tas ir iespējams un pamatoti, tādējādi arī atvieglojot konkrētās noteikumu projekta normas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nosakot izņēmumus 12.2. apakšpunkta piemērošanai saskaņoti ar ar tiesību aktu projektā “Grozījumi Ministru kabineta 2021. gada 19. oktobra noteikumos Nr. 693 “Būvju vispārīgo prasību būvnormatīvs LBN 200-21” veiktajiem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noteiktā prasība par vietu skaitu velosipēdu stāvvietā neattiecas uz tām nedzīvojamām ēkām, kurām parasti ar velosipēdu nepiekļūst.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Līdz 2033. gada 1. janvārim nedzīvojamā ēkā, kas ir publiskās personas iestādes īpašumā, ierīko kabeļus vismaz 50 % automašīnu stāvvietām.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likumam publiskas personas manta atrodas iestādes valdījumā, attiecīgi arī nedzīvojamās ēkas ir publiskas personas īpašums, bet iestādei tās ir valdījumā, tādēļ lūdzam atbilstoši precizēt noteikumu projekta 10. punktu un nepieciešamības gadījumā - arī citas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atbilstoši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Līdz 2033. gada 1. janvārim nedzīvojamā ēkā, kas ir publiskā sektora subjekta valdījumā, ierīko kabeļus vismaz 50 % automašīnu stāvvietām.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Individuālajiem siltuma maksas sadalītājiem un individuālajiem siltumenerģijas patēriņa skaitītājiem, kas uzstādīti pirms 2021. gada 1. janvāra un nav attālināti nolasāmi, līdz 2027. gada 1. janvārim nodrošina attālinātu nolasāmību vai tos aizstāj ar attālināti nolasāmiem individuāliem siltuma maksas sadalītājiem, individuāliem siltumenerģijas patēriņa skaitītājiem vai siltumenerģijas patēriņa noteikšanas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pagarināt noteikto prasību izpildes termiņus vismaz par 3–5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 ka tuvākajā periodā (piemēram, no 2027. gada) pilnā apjomā prasības attiecas tikai uz jaunbūvēm;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pakāpenisku ieviešanas grafiku, prioritāri uzlabojot ēkas ar zemāko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valsts līdzfinansējumu, izveidot mērķētas programmas Eiropas Savienības fondu ietvaros, kur pašvaldībām būtu iespējams apgūt finansējumu šo prasību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Nr.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dotā prasība ir spēkā kopš 2020.gada 16.decembra.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Individuālajiem siltuma maksas sadalītājiem un individuālajiem siltumenerģijas patēriņa skaitītājiem, kas uzstādīti pirms 2021. gada 1. janvāra un nav attālināti nolasāmi, līdz 2027. gada 1. janvārim nodrošina attālinātu nolasāmību vai tos aizstāj ar attālināti nolasāmiem individuāliem siltuma maksas sadalītājiem, individuāliem siltumenerģijas patēriņa skaitītājiem vai siltumenerģijas patēriņa noteikšanas sistēmu.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26-TA-329</w:t>
    </w:r>
    <w:r>
      <w:br/>
    </w:r>
    <w:r w:rsidR="00000000" w:rsidRPr="00000000" w:rsidDel="00000000">
      <w:rPr>
        <w:rtl w:val="0"/>
      </w:rPr>
      <w:t xml:space="preserve">22.05.2026. 17.21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26-TA-329</w:t>
    </w:r>
    <w:r>
      <w:br/>
    </w:r>
    <w:r w:rsidR="00000000" w:rsidRPr="00000000" w:rsidDel="00000000">
      <w:rPr>
        <w:rtl w:val="0"/>
      </w:rPr>
      <w:t xml:space="preserve">22.05.2026. 17.21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Izziņa_26-TA-329.docx</dc:title>
</cp:coreProperties>
</file>

<file path=docProps/custom.xml><?xml version="1.0" encoding="utf-8"?>
<Properties xmlns="http://schemas.openxmlformats.org/officeDocument/2006/custom-properties" xmlns:vt="http://schemas.openxmlformats.org/officeDocument/2006/docPropsVTypes"/>
</file>