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2AC5D" w14:textId="77777777" w:rsidR="00207EB1" w:rsidRPr="00207EB1" w:rsidRDefault="00207EB1" w:rsidP="00207EB1">
      <w:pPr>
        <w:outlineLvl w:val="0"/>
        <w:rPr>
          <w:rFonts w:ascii="Times New Roman" w:hAnsi="Times New Roman" w:cs="Times New Roman"/>
          <w:sz w:val="24"/>
          <w:szCs w:val="24"/>
          <w:lang w:val="en-US"/>
        </w:rPr>
      </w:pPr>
      <w:r w:rsidRPr="00207EB1">
        <w:rPr>
          <w:rFonts w:ascii="Times New Roman" w:hAnsi="Times New Roman" w:cs="Times New Roman"/>
          <w:b/>
          <w:bCs/>
          <w:sz w:val="24"/>
          <w:szCs w:val="24"/>
          <w:lang w:val="en-US"/>
        </w:rPr>
        <w:t>From:</w:t>
      </w:r>
      <w:r w:rsidRPr="00207EB1">
        <w:rPr>
          <w:rFonts w:ascii="Times New Roman" w:hAnsi="Times New Roman" w:cs="Times New Roman"/>
          <w:sz w:val="24"/>
          <w:szCs w:val="24"/>
          <w:lang w:val="en-US"/>
        </w:rPr>
        <w:t xml:space="preserve"> Edgars Gūte &lt;</w:t>
      </w:r>
      <w:hyperlink r:id="rId6" w:history="1">
        <w:r w:rsidRPr="00207EB1">
          <w:rPr>
            <w:rStyle w:val="Hyperlink"/>
            <w:rFonts w:ascii="Times New Roman" w:hAnsi="Times New Roman" w:cs="Times New Roman"/>
            <w:sz w:val="24"/>
            <w:szCs w:val="24"/>
            <w:lang w:val="en-US"/>
          </w:rPr>
          <w:t>Edgars.Gute@tm.gov.lv</w:t>
        </w:r>
      </w:hyperlink>
      <w:r w:rsidRPr="00207EB1">
        <w:rPr>
          <w:rFonts w:ascii="Times New Roman" w:hAnsi="Times New Roman" w:cs="Times New Roman"/>
          <w:sz w:val="24"/>
          <w:szCs w:val="24"/>
          <w:lang w:val="en-US"/>
        </w:rPr>
        <w:t xml:space="preserve">&gt; </w:t>
      </w:r>
      <w:r w:rsidRPr="00207EB1">
        <w:rPr>
          <w:rFonts w:ascii="Times New Roman" w:hAnsi="Times New Roman" w:cs="Times New Roman"/>
          <w:sz w:val="24"/>
          <w:szCs w:val="24"/>
          <w:lang w:val="en-US"/>
        </w:rPr>
        <w:br/>
      </w:r>
      <w:r w:rsidRPr="00207EB1">
        <w:rPr>
          <w:rFonts w:ascii="Times New Roman" w:hAnsi="Times New Roman" w:cs="Times New Roman"/>
          <w:b/>
          <w:bCs/>
          <w:sz w:val="24"/>
          <w:szCs w:val="24"/>
          <w:lang w:val="en-US"/>
        </w:rPr>
        <w:t>Sent:</w:t>
      </w:r>
      <w:r w:rsidRPr="00207EB1">
        <w:rPr>
          <w:rFonts w:ascii="Times New Roman" w:hAnsi="Times New Roman" w:cs="Times New Roman"/>
          <w:sz w:val="24"/>
          <w:szCs w:val="24"/>
          <w:lang w:val="en-US"/>
        </w:rPr>
        <w:t xml:space="preserve"> </w:t>
      </w:r>
      <w:proofErr w:type="spellStart"/>
      <w:r w:rsidRPr="00207EB1">
        <w:rPr>
          <w:rFonts w:ascii="Times New Roman" w:hAnsi="Times New Roman" w:cs="Times New Roman"/>
          <w:sz w:val="24"/>
          <w:szCs w:val="24"/>
          <w:lang w:val="en-US"/>
        </w:rPr>
        <w:t>otrdiena</w:t>
      </w:r>
      <w:proofErr w:type="spellEnd"/>
      <w:r w:rsidRPr="00207EB1">
        <w:rPr>
          <w:rFonts w:ascii="Times New Roman" w:hAnsi="Times New Roman" w:cs="Times New Roman"/>
          <w:sz w:val="24"/>
          <w:szCs w:val="24"/>
          <w:lang w:val="en-US"/>
        </w:rPr>
        <w:t xml:space="preserve">, 2021. </w:t>
      </w:r>
      <w:proofErr w:type="spellStart"/>
      <w:r w:rsidRPr="00207EB1">
        <w:rPr>
          <w:rFonts w:ascii="Times New Roman" w:hAnsi="Times New Roman" w:cs="Times New Roman"/>
          <w:sz w:val="24"/>
          <w:szCs w:val="24"/>
          <w:lang w:val="en-US"/>
        </w:rPr>
        <w:t>gada</w:t>
      </w:r>
      <w:proofErr w:type="spellEnd"/>
      <w:r w:rsidRPr="00207EB1">
        <w:rPr>
          <w:rFonts w:ascii="Times New Roman" w:hAnsi="Times New Roman" w:cs="Times New Roman"/>
          <w:sz w:val="24"/>
          <w:szCs w:val="24"/>
          <w:lang w:val="en-US"/>
        </w:rPr>
        <w:t xml:space="preserve"> 16. </w:t>
      </w:r>
      <w:proofErr w:type="spellStart"/>
      <w:r w:rsidRPr="00207EB1">
        <w:rPr>
          <w:rFonts w:ascii="Times New Roman" w:hAnsi="Times New Roman" w:cs="Times New Roman"/>
          <w:sz w:val="24"/>
          <w:szCs w:val="24"/>
          <w:lang w:val="en-US"/>
        </w:rPr>
        <w:t>novembris</w:t>
      </w:r>
      <w:proofErr w:type="spellEnd"/>
      <w:r w:rsidRPr="00207EB1">
        <w:rPr>
          <w:rFonts w:ascii="Times New Roman" w:hAnsi="Times New Roman" w:cs="Times New Roman"/>
          <w:sz w:val="24"/>
          <w:szCs w:val="24"/>
          <w:lang w:val="en-US"/>
        </w:rPr>
        <w:t xml:space="preserve"> 12:42</w:t>
      </w:r>
      <w:r w:rsidRPr="00207EB1">
        <w:rPr>
          <w:rFonts w:ascii="Times New Roman" w:hAnsi="Times New Roman" w:cs="Times New Roman"/>
          <w:sz w:val="24"/>
          <w:szCs w:val="24"/>
          <w:lang w:val="en-US"/>
        </w:rPr>
        <w:br/>
      </w:r>
      <w:r w:rsidRPr="00207EB1">
        <w:rPr>
          <w:rFonts w:ascii="Times New Roman" w:hAnsi="Times New Roman" w:cs="Times New Roman"/>
          <w:b/>
          <w:bCs/>
          <w:sz w:val="24"/>
          <w:szCs w:val="24"/>
          <w:lang w:val="en-US"/>
        </w:rPr>
        <w:t>To:</w:t>
      </w:r>
      <w:r w:rsidRPr="00207EB1">
        <w:rPr>
          <w:rFonts w:ascii="Times New Roman" w:hAnsi="Times New Roman" w:cs="Times New Roman"/>
          <w:sz w:val="24"/>
          <w:szCs w:val="24"/>
          <w:lang w:val="en-US"/>
        </w:rPr>
        <w:t xml:space="preserve"> Irita Tomiņa &lt;</w:t>
      </w:r>
      <w:hyperlink r:id="rId7" w:history="1">
        <w:r w:rsidRPr="00207EB1">
          <w:rPr>
            <w:rStyle w:val="Hyperlink"/>
            <w:rFonts w:ascii="Times New Roman" w:hAnsi="Times New Roman" w:cs="Times New Roman"/>
            <w:sz w:val="24"/>
            <w:szCs w:val="24"/>
            <w:lang w:val="en-US"/>
          </w:rPr>
          <w:t>irita.tomina@fm.gov.lv</w:t>
        </w:r>
      </w:hyperlink>
      <w:r w:rsidRPr="00207EB1">
        <w:rPr>
          <w:rFonts w:ascii="Times New Roman" w:hAnsi="Times New Roman" w:cs="Times New Roman"/>
          <w:sz w:val="24"/>
          <w:szCs w:val="24"/>
          <w:lang w:val="en-US"/>
        </w:rPr>
        <w:t>&gt;; Sandis Vilcāns &lt;</w:t>
      </w:r>
      <w:hyperlink r:id="rId8" w:history="1">
        <w:r w:rsidRPr="00207EB1">
          <w:rPr>
            <w:rStyle w:val="Hyperlink"/>
            <w:rFonts w:ascii="Times New Roman" w:hAnsi="Times New Roman" w:cs="Times New Roman"/>
            <w:sz w:val="24"/>
            <w:szCs w:val="24"/>
            <w:lang w:val="en-US"/>
          </w:rPr>
          <w:t>Sandis.Vilcans@tm.gov.lv</w:t>
        </w:r>
      </w:hyperlink>
      <w:r w:rsidRPr="00207EB1">
        <w:rPr>
          <w:rFonts w:ascii="Times New Roman" w:hAnsi="Times New Roman" w:cs="Times New Roman"/>
          <w:sz w:val="24"/>
          <w:szCs w:val="24"/>
          <w:lang w:val="en-US"/>
        </w:rPr>
        <w:t>&gt;</w:t>
      </w:r>
      <w:r w:rsidRPr="00207EB1">
        <w:rPr>
          <w:rFonts w:ascii="Times New Roman" w:hAnsi="Times New Roman" w:cs="Times New Roman"/>
          <w:sz w:val="24"/>
          <w:szCs w:val="24"/>
          <w:lang w:val="en-US"/>
        </w:rPr>
        <w:br/>
      </w:r>
      <w:r w:rsidRPr="00207EB1">
        <w:rPr>
          <w:rFonts w:ascii="Times New Roman" w:hAnsi="Times New Roman" w:cs="Times New Roman"/>
          <w:b/>
          <w:bCs/>
          <w:sz w:val="24"/>
          <w:szCs w:val="24"/>
          <w:lang w:val="en-US"/>
        </w:rPr>
        <w:t>Cc:</w:t>
      </w:r>
      <w:r w:rsidRPr="00207EB1">
        <w:rPr>
          <w:rFonts w:ascii="Times New Roman" w:hAnsi="Times New Roman" w:cs="Times New Roman"/>
          <w:sz w:val="24"/>
          <w:szCs w:val="24"/>
          <w:lang w:val="en-US"/>
        </w:rPr>
        <w:t xml:space="preserve"> Andra Reinfelde &lt;</w:t>
      </w:r>
      <w:hyperlink r:id="rId9" w:history="1">
        <w:r w:rsidRPr="00207EB1">
          <w:rPr>
            <w:rStyle w:val="Hyperlink"/>
            <w:rFonts w:ascii="Times New Roman" w:hAnsi="Times New Roman" w:cs="Times New Roman"/>
            <w:sz w:val="24"/>
            <w:szCs w:val="24"/>
            <w:lang w:val="en-US"/>
          </w:rPr>
          <w:t>Andra.Reinfelde@TM.GOV.LV</w:t>
        </w:r>
      </w:hyperlink>
      <w:r w:rsidRPr="00207EB1">
        <w:rPr>
          <w:rFonts w:ascii="Times New Roman" w:hAnsi="Times New Roman" w:cs="Times New Roman"/>
          <w:sz w:val="24"/>
          <w:szCs w:val="24"/>
          <w:lang w:val="en-US"/>
        </w:rPr>
        <w:t>&gt;</w:t>
      </w:r>
      <w:r w:rsidRPr="00207EB1">
        <w:rPr>
          <w:rFonts w:ascii="Times New Roman" w:hAnsi="Times New Roman" w:cs="Times New Roman"/>
          <w:sz w:val="24"/>
          <w:szCs w:val="24"/>
          <w:lang w:val="en-US"/>
        </w:rPr>
        <w:br/>
      </w:r>
      <w:r w:rsidRPr="00207EB1">
        <w:rPr>
          <w:rFonts w:ascii="Times New Roman" w:hAnsi="Times New Roman" w:cs="Times New Roman"/>
          <w:b/>
          <w:bCs/>
          <w:sz w:val="24"/>
          <w:szCs w:val="24"/>
          <w:lang w:val="en-US"/>
        </w:rPr>
        <w:t>Subject:</w:t>
      </w:r>
      <w:r w:rsidRPr="00207EB1">
        <w:rPr>
          <w:rFonts w:ascii="Times New Roman" w:hAnsi="Times New Roman" w:cs="Times New Roman"/>
          <w:sz w:val="24"/>
          <w:szCs w:val="24"/>
          <w:lang w:val="en-US"/>
        </w:rPr>
        <w:t xml:space="preserve"> FW: Par </w:t>
      </w:r>
      <w:proofErr w:type="spellStart"/>
      <w:r w:rsidRPr="00207EB1">
        <w:rPr>
          <w:rFonts w:ascii="Times New Roman" w:hAnsi="Times New Roman" w:cs="Times New Roman"/>
          <w:sz w:val="24"/>
          <w:szCs w:val="24"/>
          <w:lang w:val="en-US"/>
        </w:rPr>
        <w:t>likumprojekta</w:t>
      </w:r>
      <w:proofErr w:type="spellEnd"/>
      <w:r w:rsidRPr="00207EB1">
        <w:rPr>
          <w:rFonts w:ascii="Times New Roman" w:hAnsi="Times New Roman" w:cs="Times New Roman"/>
          <w:sz w:val="24"/>
          <w:szCs w:val="24"/>
          <w:lang w:val="en-US"/>
        </w:rPr>
        <w:t xml:space="preserve"> "</w:t>
      </w:r>
      <w:proofErr w:type="spellStart"/>
      <w:r w:rsidRPr="00207EB1">
        <w:rPr>
          <w:rFonts w:ascii="Times New Roman" w:hAnsi="Times New Roman" w:cs="Times New Roman"/>
          <w:sz w:val="24"/>
          <w:szCs w:val="24"/>
          <w:lang w:val="en-US"/>
        </w:rPr>
        <w:t>Grozījumi</w:t>
      </w:r>
      <w:proofErr w:type="spellEnd"/>
      <w:r w:rsidRPr="00207EB1">
        <w:rPr>
          <w:rFonts w:ascii="Times New Roman" w:hAnsi="Times New Roman" w:cs="Times New Roman"/>
          <w:sz w:val="24"/>
          <w:szCs w:val="24"/>
          <w:lang w:val="en-US"/>
        </w:rPr>
        <w:t xml:space="preserve"> </w:t>
      </w:r>
      <w:proofErr w:type="spellStart"/>
      <w:r w:rsidRPr="00207EB1">
        <w:rPr>
          <w:rFonts w:ascii="Times New Roman" w:hAnsi="Times New Roman" w:cs="Times New Roman"/>
          <w:sz w:val="24"/>
          <w:szCs w:val="24"/>
          <w:lang w:val="en-US"/>
        </w:rPr>
        <w:t>likumā</w:t>
      </w:r>
      <w:proofErr w:type="spellEnd"/>
      <w:r w:rsidRPr="00207EB1">
        <w:rPr>
          <w:rFonts w:ascii="Times New Roman" w:hAnsi="Times New Roman" w:cs="Times New Roman"/>
          <w:sz w:val="24"/>
          <w:szCs w:val="24"/>
          <w:lang w:val="en-US"/>
        </w:rPr>
        <w:t xml:space="preserve"> "Par </w:t>
      </w:r>
      <w:proofErr w:type="spellStart"/>
      <w:r w:rsidRPr="00207EB1">
        <w:rPr>
          <w:rFonts w:ascii="Times New Roman" w:hAnsi="Times New Roman" w:cs="Times New Roman"/>
          <w:sz w:val="24"/>
          <w:szCs w:val="24"/>
          <w:lang w:val="en-US"/>
        </w:rPr>
        <w:t>skaidras</w:t>
      </w:r>
      <w:proofErr w:type="spellEnd"/>
      <w:r w:rsidRPr="00207EB1">
        <w:rPr>
          <w:rFonts w:ascii="Times New Roman" w:hAnsi="Times New Roman" w:cs="Times New Roman"/>
          <w:sz w:val="24"/>
          <w:szCs w:val="24"/>
          <w:lang w:val="en-US"/>
        </w:rPr>
        <w:t xml:space="preserve"> </w:t>
      </w:r>
      <w:proofErr w:type="spellStart"/>
      <w:r w:rsidRPr="00207EB1">
        <w:rPr>
          <w:rFonts w:ascii="Times New Roman" w:hAnsi="Times New Roman" w:cs="Times New Roman"/>
          <w:sz w:val="24"/>
          <w:szCs w:val="24"/>
          <w:lang w:val="en-US"/>
        </w:rPr>
        <w:t>naudas</w:t>
      </w:r>
      <w:proofErr w:type="spellEnd"/>
      <w:r w:rsidRPr="00207EB1">
        <w:rPr>
          <w:rFonts w:ascii="Times New Roman" w:hAnsi="Times New Roman" w:cs="Times New Roman"/>
          <w:sz w:val="24"/>
          <w:szCs w:val="24"/>
          <w:lang w:val="en-US"/>
        </w:rPr>
        <w:t xml:space="preserve"> </w:t>
      </w:r>
      <w:proofErr w:type="spellStart"/>
      <w:r w:rsidRPr="00207EB1">
        <w:rPr>
          <w:rFonts w:ascii="Times New Roman" w:hAnsi="Times New Roman" w:cs="Times New Roman"/>
          <w:sz w:val="24"/>
          <w:szCs w:val="24"/>
          <w:lang w:val="en-US"/>
        </w:rPr>
        <w:t>deklarēšanu</w:t>
      </w:r>
      <w:proofErr w:type="spellEnd"/>
      <w:r w:rsidRPr="00207EB1">
        <w:rPr>
          <w:rFonts w:ascii="Times New Roman" w:hAnsi="Times New Roman" w:cs="Times New Roman"/>
          <w:sz w:val="24"/>
          <w:szCs w:val="24"/>
          <w:lang w:val="en-US"/>
        </w:rPr>
        <w:t xml:space="preserve"> </w:t>
      </w:r>
      <w:proofErr w:type="spellStart"/>
      <w:r w:rsidRPr="00207EB1">
        <w:rPr>
          <w:rFonts w:ascii="Times New Roman" w:hAnsi="Times New Roman" w:cs="Times New Roman"/>
          <w:sz w:val="24"/>
          <w:szCs w:val="24"/>
          <w:lang w:val="en-US"/>
        </w:rPr>
        <w:t>uz</w:t>
      </w:r>
      <w:proofErr w:type="spellEnd"/>
      <w:r w:rsidRPr="00207EB1">
        <w:rPr>
          <w:rFonts w:ascii="Times New Roman" w:hAnsi="Times New Roman" w:cs="Times New Roman"/>
          <w:sz w:val="24"/>
          <w:szCs w:val="24"/>
          <w:lang w:val="en-US"/>
        </w:rPr>
        <w:t xml:space="preserve"> </w:t>
      </w:r>
      <w:proofErr w:type="spellStart"/>
      <w:r w:rsidRPr="00207EB1">
        <w:rPr>
          <w:rFonts w:ascii="Times New Roman" w:hAnsi="Times New Roman" w:cs="Times New Roman"/>
          <w:sz w:val="24"/>
          <w:szCs w:val="24"/>
          <w:lang w:val="en-US"/>
        </w:rPr>
        <w:t>valsts</w:t>
      </w:r>
      <w:proofErr w:type="spellEnd"/>
      <w:r w:rsidRPr="00207EB1">
        <w:rPr>
          <w:rFonts w:ascii="Times New Roman" w:hAnsi="Times New Roman" w:cs="Times New Roman"/>
          <w:sz w:val="24"/>
          <w:szCs w:val="24"/>
          <w:lang w:val="en-US"/>
        </w:rPr>
        <w:t xml:space="preserve"> </w:t>
      </w:r>
      <w:proofErr w:type="spellStart"/>
      <w:r w:rsidRPr="00207EB1">
        <w:rPr>
          <w:rFonts w:ascii="Times New Roman" w:hAnsi="Times New Roman" w:cs="Times New Roman"/>
          <w:sz w:val="24"/>
          <w:szCs w:val="24"/>
          <w:lang w:val="en-US"/>
        </w:rPr>
        <w:t>robežas</w:t>
      </w:r>
      <w:proofErr w:type="spellEnd"/>
      <w:r w:rsidRPr="00207EB1">
        <w:rPr>
          <w:rFonts w:ascii="Times New Roman" w:hAnsi="Times New Roman" w:cs="Times New Roman"/>
          <w:sz w:val="24"/>
          <w:szCs w:val="24"/>
          <w:lang w:val="en-US"/>
        </w:rPr>
        <w:t xml:space="preserve">"" un </w:t>
      </w:r>
      <w:proofErr w:type="spellStart"/>
      <w:r w:rsidRPr="00207EB1">
        <w:rPr>
          <w:rFonts w:ascii="Times New Roman" w:hAnsi="Times New Roman" w:cs="Times New Roman"/>
          <w:sz w:val="24"/>
          <w:szCs w:val="24"/>
          <w:lang w:val="en-US"/>
        </w:rPr>
        <w:t>tā</w:t>
      </w:r>
      <w:proofErr w:type="spellEnd"/>
      <w:r w:rsidRPr="00207EB1">
        <w:rPr>
          <w:rFonts w:ascii="Times New Roman" w:hAnsi="Times New Roman" w:cs="Times New Roman"/>
          <w:sz w:val="24"/>
          <w:szCs w:val="24"/>
          <w:lang w:val="en-US"/>
        </w:rPr>
        <w:t xml:space="preserve"> </w:t>
      </w:r>
      <w:proofErr w:type="spellStart"/>
      <w:r w:rsidRPr="00207EB1">
        <w:rPr>
          <w:rFonts w:ascii="Times New Roman" w:hAnsi="Times New Roman" w:cs="Times New Roman"/>
          <w:sz w:val="24"/>
          <w:szCs w:val="24"/>
          <w:lang w:val="en-US"/>
        </w:rPr>
        <w:t>anotācijas</w:t>
      </w:r>
      <w:proofErr w:type="spellEnd"/>
      <w:r w:rsidRPr="00207EB1">
        <w:rPr>
          <w:rFonts w:ascii="Times New Roman" w:hAnsi="Times New Roman" w:cs="Times New Roman"/>
          <w:sz w:val="24"/>
          <w:szCs w:val="24"/>
          <w:lang w:val="en-US"/>
        </w:rPr>
        <w:t xml:space="preserve"> </w:t>
      </w:r>
      <w:proofErr w:type="spellStart"/>
      <w:r w:rsidRPr="00207EB1">
        <w:rPr>
          <w:rFonts w:ascii="Times New Roman" w:hAnsi="Times New Roman" w:cs="Times New Roman"/>
          <w:sz w:val="24"/>
          <w:szCs w:val="24"/>
          <w:lang w:val="en-US"/>
        </w:rPr>
        <w:t>saskaņošanu</w:t>
      </w:r>
      <w:proofErr w:type="spellEnd"/>
    </w:p>
    <w:p w14:paraId="2F8B41CE" w14:textId="77777777" w:rsidR="00207EB1" w:rsidRPr="00207EB1" w:rsidRDefault="00207EB1" w:rsidP="00207EB1">
      <w:pPr>
        <w:rPr>
          <w:rFonts w:ascii="Times New Roman" w:hAnsi="Times New Roman" w:cs="Times New Roman"/>
          <w:sz w:val="24"/>
          <w:szCs w:val="24"/>
        </w:rPr>
      </w:pPr>
    </w:p>
    <w:p w14:paraId="0C684365" w14:textId="77777777" w:rsidR="00207EB1" w:rsidRPr="00207EB1" w:rsidRDefault="00207EB1" w:rsidP="00207EB1">
      <w:pPr>
        <w:jc w:val="both"/>
        <w:rPr>
          <w:rFonts w:ascii="Times New Roman" w:hAnsi="Times New Roman" w:cs="Times New Roman"/>
          <w:sz w:val="24"/>
          <w:szCs w:val="24"/>
        </w:rPr>
      </w:pPr>
      <w:r w:rsidRPr="00207EB1">
        <w:rPr>
          <w:rFonts w:ascii="Times New Roman" w:hAnsi="Times New Roman" w:cs="Times New Roman"/>
          <w:sz w:val="24"/>
          <w:szCs w:val="24"/>
        </w:rPr>
        <w:t xml:space="preserve">Labdien, </w:t>
      </w:r>
    </w:p>
    <w:p w14:paraId="16EE3F14" w14:textId="77777777" w:rsidR="00207EB1" w:rsidRPr="00207EB1" w:rsidRDefault="00207EB1" w:rsidP="00207EB1">
      <w:pPr>
        <w:jc w:val="both"/>
        <w:rPr>
          <w:rFonts w:ascii="Times New Roman" w:hAnsi="Times New Roman" w:cs="Times New Roman"/>
          <w:sz w:val="24"/>
          <w:szCs w:val="24"/>
        </w:rPr>
      </w:pPr>
    </w:p>
    <w:p w14:paraId="4CF69D62" w14:textId="77777777" w:rsidR="00207EB1" w:rsidRPr="00207EB1" w:rsidRDefault="00207EB1" w:rsidP="00207EB1">
      <w:pPr>
        <w:jc w:val="both"/>
        <w:rPr>
          <w:rFonts w:ascii="Times New Roman" w:hAnsi="Times New Roman" w:cs="Times New Roman"/>
          <w:sz w:val="24"/>
          <w:szCs w:val="24"/>
        </w:rPr>
      </w:pPr>
      <w:r w:rsidRPr="00207EB1">
        <w:rPr>
          <w:rFonts w:ascii="Times New Roman" w:hAnsi="Times New Roman" w:cs="Times New Roman"/>
          <w:sz w:val="24"/>
          <w:szCs w:val="24"/>
        </w:rPr>
        <w:t>Tieslietu ministrija ir izskatījusi precizēto likumprojektu "Grozījumi likumā "Par skaidras naudas deklarēšanu uz valsts robežas"" (turpmāk - projekts) un saistītos dokumentus un uztur šādu  iebildumu saistībā ar projekta 8. pantu, kurā paredzēta administratīvā atbildība skaidras naudas deklarēšanas uz valsts robežas jomā: "Par normatīvajos aktos noteiktā skaidras naudas, ko, šķērsojot valsts robežu, ieved Latvijas Republikā vai izved no tās, deklarēšanas pienākuma neizpildīšanu vai kompetentās iestādes noteiktā pienākuma atklāt informāciju par nepavadītu skaidru naudu, ko, šķērsojot valsts robežu, ieved Latvijas Republikā vai izved no tās, neizpildīšanu, piemēro naudas sodu divdesmit procentu apmērā no summas, kuru ir pienākums deklarēt vai par kuru ir pienākums atklāt informāciju."</w:t>
      </w:r>
    </w:p>
    <w:p w14:paraId="2C009E81" w14:textId="77777777" w:rsidR="00207EB1" w:rsidRPr="00207EB1" w:rsidRDefault="00207EB1" w:rsidP="00207EB1">
      <w:pPr>
        <w:jc w:val="both"/>
        <w:rPr>
          <w:rFonts w:ascii="Times New Roman" w:hAnsi="Times New Roman" w:cs="Times New Roman"/>
          <w:sz w:val="24"/>
          <w:szCs w:val="24"/>
        </w:rPr>
      </w:pPr>
    </w:p>
    <w:p w14:paraId="2ECD95E7" w14:textId="77777777" w:rsidR="00207EB1" w:rsidRPr="00207EB1" w:rsidRDefault="00207EB1" w:rsidP="00207EB1">
      <w:pPr>
        <w:jc w:val="both"/>
        <w:rPr>
          <w:rFonts w:ascii="Times New Roman" w:hAnsi="Times New Roman" w:cs="Times New Roman"/>
          <w:sz w:val="24"/>
          <w:szCs w:val="24"/>
        </w:rPr>
      </w:pPr>
      <w:r w:rsidRPr="00207EB1">
        <w:rPr>
          <w:rFonts w:ascii="Times New Roman" w:hAnsi="Times New Roman" w:cs="Times New Roman"/>
          <w:sz w:val="24"/>
          <w:szCs w:val="24"/>
        </w:rPr>
        <w:t xml:space="preserve">1. Pirms noteikt jaunu administratīvās atbildības pamatu, jāizvērtē vismaz šādi kritēriji: 1) administratīvā akta prioritātes princips; 2) sabiedriskās kārtības mērķa sasniegšanas efektivitāte; 3) </w:t>
      </w:r>
      <w:proofErr w:type="spellStart"/>
      <w:r w:rsidRPr="00207EB1">
        <w:rPr>
          <w:rFonts w:ascii="Times New Roman" w:hAnsi="Times New Roman" w:cs="Times New Roman"/>
          <w:sz w:val="24"/>
          <w:szCs w:val="24"/>
        </w:rPr>
        <w:t>problēmsituācijas</w:t>
      </w:r>
      <w:proofErr w:type="spellEnd"/>
      <w:r w:rsidRPr="00207EB1">
        <w:rPr>
          <w:rFonts w:ascii="Times New Roman" w:hAnsi="Times New Roman" w:cs="Times New Roman"/>
          <w:sz w:val="24"/>
          <w:szCs w:val="24"/>
        </w:rPr>
        <w:t xml:space="preserve"> </w:t>
      </w:r>
      <w:proofErr w:type="spellStart"/>
      <w:r w:rsidRPr="00207EB1">
        <w:rPr>
          <w:rFonts w:ascii="Times New Roman" w:hAnsi="Times New Roman" w:cs="Times New Roman"/>
          <w:sz w:val="24"/>
          <w:szCs w:val="24"/>
        </w:rPr>
        <w:t>attiecināmība</w:t>
      </w:r>
      <w:proofErr w:type="spellEnd"/>
      <w:r w:rsidRPr="00207EB1">
        <w:rPr>
          <w:rFonts w:ascii="Times New Roman" w:hAnsi="Times New Roman" w:cs="Times New Roman"/>
          <w:sz w:val="24"/>
          <w:szCs w:val="24"/>
        </w:rPr>
        <w:t xml:space="preserve"> uz publiski tiesiskajām attiecībām; 4) </w:t>
      </w:r>
      <w:proofErr w:type="spellStart"/>
      <w:r w:rsidRPr="00207EB1">
        <w:rPr>
          <w:rFonts w:ascii="Times New Roman" w:hAnsi="Times New Roman" w:cs="Times New Roman"/>
          <w:sz w:val="24"/>
          <w:szCs w:val="24"/>
        </w:rPr>
        <w:t>problēmsituācijas</w:t>
      </w:r>
      <w:proofErr w:type="spellEnd"/>
      <w:r w:rsidRPr="00207EB1">
        <w:rPr>
          <w:rFonts w:ascii="Times New Roman" w:hAnsi="Times New Roman" w:cs="Times New Roman"/>
          <w:sz w:val="24"/>
          <w:szCs w:val="24"/>
        </w:rPr>
        <w:t xml:space="preserve"> bīstamība un kaitīgums; 5) aizliegums paredzēt administratīvos sodus par administratīvā akta labprātīgu neizpildīšanu (Māliņa I. Jaunu administratīvo pārkāpumu sastāvu veidošana. </w:t>
      </w:r>
      <w:proofErr w:type="spellStart"/>
      <w:r w:rsidRPr="00207EB1">
        <w:rPr>
          <w:rFonts w:ascii="Times New Roman" w:hAnsi="Times New Roman" w:cs="Times New Roman"/>
          <w:sz w:val="24"/>
          <w:szCs w:val="24"/>
        </w:rPr>
        <w:t>Grām</w:t>
      </w:r>
      <w:proofErr w:type="spellEnd"/>
      <w:r w:rsidRPr="00207EB1">
        <w:rPr>
          <w:rFonts w:ascii="Times New Roman" w:hAnsi="Times New Roman" w:cs="Times New Roman"/>
          <w:sz w:val="24"/>
          <w:szCs w:val="24"/>
        </w:rPr>
        <w:t xml:space="preserve">.: Administratīvo pārkāpumu tiesības. Administratīvās atbildības likuma skaidrojumi. Sagatavojis autoru kolektīvs. E. </w:t>
      </w:r>
      <w:proofErr w:type="spellStart"/>
      <w:r w:rsidRPr="00207EB1">
        <w:rPr>
          <w:rFonts w:ascii="Times New Roman" w:hAnsi="Times New Roman" w:cs="Times New Roman"/>
          <w:sz w:val="24"/>
          <w:szCs w:val="24"/>
        </w:rPr>
        <w:t>Danovska</w:t>
      </w:r>
      <w:proofErr w:type="spellEnd"/>
      <w:r w:rsidRPr="00207EB1">
        <w:rPr>
          <w:rFonts w:ascii="Times New Roman" w:hAnsi="Times New Roman" w:cs="Times New Roman"/>
          <w:sz w:val="24"/>
          <w:szCs w:val="24"/>
        </w:rPr>
        <w:t xml:space="preserve"> un G. Kūtra zinātniskajā redakcijā. Rīga: Tiesu namu aģentūra, 2020, 54. lpp.). Nozīmīgs rādītājs ir arī </w:t>
      </w:r>
      <w:proofErr w:type="spellStart"/>
      <w:r w:rsidRPr="00207EB1">
        <w:rPr>
          <w:rFonts w:ascii="Times New Roman" w:hAnsi="Times New Roman" w:cs="Times New Roman"/>
          <w:sz w:val="24"/>
          <w:szCs w:val="24"/>
        </w:rPr>
        <w:t>problēmsituācijas</w:t>
      </w:r>
      <w:proofErr w:type="spellEnd"/>
      <w:r w:rsidRPr="00207EB1">
        <w:rPr>
          <w:rFonts w:ascii="Times New Roman" w:hAnsi="Times New Roman" w:cs="Times New Roman"/>
          <w:sz w:val="24"/>
          <w:szCs w:val="24"/>
        </w:rPr>
        <w:t xml:space="preserve"> aktualitāte, proti, vai attiecīgi pārkāpumi faktiski tiek izdarīti pietiekami bieži, lai par to būtu nepieciešams paredzēt administratīvo atbildību, vai esošais regulējums nav novecojis (sal. Informatīvais ziņojums "Nozaru administratīvo pārkāpumu kodifikācijas ieviešanas sistēmas īstenošana", 03.03.2020., 2. lpp. Pieejams: </w:t>
      </w:r>
      <w:hyperlink r:id="rId10" w:history="1">
        <w:r w:rsidRPr="00207EB1">
          <w:rPr>
            <w:rStyle w:val="Hyperlink"/>
            <w:rFonts w:ascii="Times New Roman" w:hAnsi="Times New Roman" w:cs="Times New Roman"/>
            <w:sz w:val="24"/>
            <w:szCs w:val="24"/>
          </w:rPr>
          <w:t>http://polsis.mk.gov.lv/</w:t>
        </w:r>
      </w:hyperlink>
      <w:r w:rsidRPr="00207EB1">
        <w:rPr>
          <w:rFonts w:ascii="Times New Roman" w:hAnsi="Times New Roman" w:cs="Times New Roman"/>
          <w:sz w:val="24"/>
          <w:szCs w:val="24"/>
        </w:rPr>
        <w:t>).</w:t>
      </w:r>
    </w:p>
    <w:p w14:paraId="1FFC8CFF" w14:textId="77777777" w:rsidR="00207EB1" w:rsidRPr="00207EB1" w:rsidRDefault="00207EB1" w:rsidP="00207EB1">
      <w:pPr>
        <w:jc w:val="both"/>
        <w:rPr>
          <w:rFonts w:ascii="Times New Roman" w:hAnsi="Times New Roman" w:cs="Times New Roman"/>
          <w:sz w:val="24"/>
          <w:szCs w:val="24"/>
        </w:rPr>
      </w:pPr>
      <w:r w:rsidRPr="00207EB1">
        <w:rPr>
          <w:rFonts w:ascii="Times New Roman" w:hAnsi="Times New Roman" w:cs="Times New Roman"/>
          <w:sz w:val="24"/>
          <w:szCs w:val="24"/>
        </w:rPr>
        <w:t xml:space="preserve">1.1. Projekta anotācijā jābūt ietvertam skaidram, viegli uztveramam, pilnīgam un argumentētam šo kritēriju </w:t>
      </w:r>
      <w:proofErr w:type="spellStart"/>
      <w:r w:rsidRPr="00207EB1">
        <w:rPr>
          <w:rFonts w:ascii="Times New Roman" w:hAnsi="Times New Roman" w:cs="Times New Roman"/>
          <w:sz w:val="24"/>
          <w:szCs w:val="24"/>
        </w:rPr>
        <w:t>izvērtējumam</w:t>
      </w:r>
      <w:proofErr w:type="spellEnd"/>
      <w:r w:rsidRPr="00207EB1">
        <w:rPr>
          <w:rFonts w:ascii="Times New Roman" w:hAnsi="Times New Roman" w:cs="Times New Roman"/>
          <w:sz w:val="24"/>
          <w:szCs w:val="24"/>
        </w:rPr>
        <w:t xml:space="preserve">. Tā kā projekts izteic likuma "Par skaidras naudas deklarēšanu uz valsts robežas" 7. panta pirmo daļu jaunā redakcijā, tad šādam </w:t>
      </w:r>
      <w:proofErr w:type="spellStart"/>
      <w:r w:rsidRPr="00207EB1">
        <w:rPr>
          <w:rFonts w:ascii="Times New Roman" w:hAnsi="Times New Roman" w:cs="Times New Roman"/>
          <w:sz w:val="24"/>
          <w:szCs w:val="24"/>
        </w:rPr>
        <w:t>izvērtējumam</w:t>
      </w:r>
      <w:proofErr w:type="spellEnd"/>
      <w:r w:rsidRPr="00207EB1">
        <w:rPr>
          <w:rFonts w:ascii="Times New Roman" w:hAnsi="Times New Roman" w:cs="Times New Roman"/>
          <w:sz w:val="24"/>
          <w:szCs w:val="24"/>
        </w:rPr>
        <w:t xml:space="preserve"> jābūt ne tikai par kompetentās iestādes noteiktā pienākuma atklāt informāciju par nepavadītu skaidru naudu neizpildīšanu, bet arī par normatīvajos aktos noteiktā skaidras naudas, ko, šķērsojot valsts robežu, ieved Latvijas Republikā vai izved no tās, deklarēšanas pienākuma neizpildīšanu.</w:t>
      </w:r>
    </w:p>
    <w:p w14:paraId="36B9D074" w14:textId="77777777" w:rsidR="00207EB1" w:rsidRPr="00207EB1" w:rsidRDefault="00207EB1" w:rsidP="00207EB1">
      <w:pPr>
        <w:jc w:val="both"/>
        <w:rPr>
          <w:rFonts w:ascii="Times New Roman" w:hAnsi="Times New Roman" w:cs="Times New Roman"/>
          <w:sz w:val="24"/>
          <w:szCs w:val="24"/>
        </w:rPr>
      </w:pPr>
      <w:r w:rsidRPr="00207EB1">
        <w:rPr>
          <w:rFonts w:ascii="Times New Roman" w:hAnsi="Times New Roman" w:cs="Times New Roman"/>
          <w:sz w:val="24"/>
          <w:szCs w:val="24"/>
        </w:rPr>
        <w:t xml:space="preserve">1.2. Projekta anotācijā norādīts: "Likumprojektā ietvertā skaidras naudas deklarēšanas pienākuma neizpildes pārkāpuma sastāva saglabāšana arī par pienākuma – personai iesniegt kompetentajai iestādei skaidras naudas informācijas atklāšanas deklarāciju – neizpilde, administratīvo pārkāpumu sistēmā ir izvērtēta, ņemot vērā nodarījuma bīstamību, sekas, aktualitāti un </w:t>
      </w:r>
      <w:proofErr w:type="spellStart"/>
      <w:r w:rsidRPr="00207EB1">
        <w:rPr>
          <w:rFonts w:ascii="Times New Roman" w:hAnsi="Times New Roman" w:cs="Times New Roman"/>
          <w:sz w:val="24"/>
          <w:szCs w:val="24"/>
        </w:rPr>
        <w:t>attiecināmību</w:t>
      </w:r>
      <w:proofErr w:type="spellEnd"/>
      <w:r w:rsidRPr="00207EB1">
        <w:rPr>
          <w:rFonts w:ascii="Times New Roman" w:hAnsi="Times New Roman" w:cs="Times New Roman"/>
          <w:sz w:val="24"/>
          <w:szCs w:val="24"/>
        </w:rPr>
        <w:t xml:space="preserve"> uz publiski tiesiskajām attiecībām, kā arī sabiedrības kaitīgumu." Šeit daļēji ir nosaukti administratīvās atbildības noteikšanas kritēriji, tomēr projekta anotācijā nepieciešams iekļaut pašu vērtējumu, nevis tikai kritēriju uzskaitījumu. </w:t>
      </w:r>
    </w:p>
    <w:p w14:paraId="117EC65D" w14:textId="77777777" w:rsidR="00207EB1" w:rsidRPr="00207EB1" w:rsidRDefault="00207EB1" w:rsidP="00207EB1">
      <w:pPr>
        <w:jc w:val="both"/>
        <w:rPr>
          <w:rFonts w:ascii="Times New Roman" w:hAnsi="Times New Roman" w:cs="Times New Roman"/>
          <w:sz w:val="24"/>
          <w:szCs w:val="24"/>
        </w:rPr>
      </w:pPr>
      <w:r w:rsidRPr="00207EB1">
        <w:rPr>
          <w:rFonts w:ascii="Times New Roman" w:hAnsi="Times New Roman" w:cs="Times New Roman"/>
          <w:sz w:val="24"/>
          <w:szCs w:val="24"/>
        </w:rPr>
        <w:t>Līdzīgi projekta anotācijā norādīts: "Administratīvo pārkāpumu sastāvu aktualitāte ir analizēta, izvērtējot statistikas informāciju par konstatētajiem administratīvajiem pārkāpumiem iepriekšējos gados." Šādam apgalvojumam nav nekādas nozīmes. Nav nedz norādīta minētā informācija, nedz arī secinājumi.</w:t>
      </w:r>
    </w:p>
    <w:p w14:paraId="478C978E" w14:textId="77777777" w:rsidR="00207EB1" w:rsidRPr="00207EB1" w:rsidRDefault="00207EB1" w:rsidP="00207EB1">
      <w:pPr>
        <w:jc w:val="both"/>
        <w:rPr>
          <w:rFonts w:ascii="Times New Roman" w:hAnsi="Times New Roman" w:cs="Times New Roman"/>
          <w:sz w:val="24"/>
          <w:szCs w:val="24"/>
        </w:rPr>
      </w:pPr>
      <w:r w:rsidRPr="00207EB1">
        <w:rPr>
          <w:rFonts w:ascii="Times New Roman" w:hAnsi="Times New Roman" w:cs="Times New Roman"/>
          <w:sz w:val="24"/>
          <w:szCs w:val="24"/>
        </w:rPr>
        <w:t xml:space="preserve">1.3. Projekta anotācijā norādīts: "Vērtējot šobrīd noteikto administratīvo atbildību par skaidras naudas ko, šķērsojot valsts robežu, ieved Latvijas Republikā vai izved no tās, deklarēšanas </w:t>
      </w:r>
      <w:r w:rsidRPr="00207EB1">
        <w:rPr>
          <w:rFonts w:ascii="Times New Roman" w:hAnsi="Times New Roman" w:cs="Times New Roman"/>
          <w:sz w:val="24"/>
          <w:szCs w:val="24"/>
        </w:rPr>
        <w:lastRenderedPageBreak/>
        <w:t xml:space="preserve">pienākuma neizpildi, secināms, ka arī par pienākuma atklāt informāciju par nepavadītu skaidru naudu neizpildi naudas sods ir vienīgais iespējamais un efektīvākais sods, jo skaidras naudas pārvadājuma atļaujas saņemšana vai licencēšana nav paredzēta, līdz ar ko, konstatētā pārkāpuma gadījumā nav iespējams piemērot naudas soda vietā citus paredzētos soda veidus vai piespiedu līdzekļus, kā arī nav noteikts, piemēram, izdot attiecīgu tiesību ierobežojošu, atceļošu, apturošu administratīvo aktu." Šāds apgalvojums nav pareizs. Nav obligāti jābūt pārvadājuma atļaujai vai licencei, lai varētu piemērot nesodoša rakstura piespiedu līdzekļus administratīvajā procesā. </w:t>
      </w:r>
    </w:p>
    <w:p w14:paraId="779EFE25" w14:textId="77777777" w:rsidR="00207EB1" w:rsidRPr="00207EB1" w:rsidRDefault="00207EB1" w:rsidP="00207EB1">
      <w:pPr>
        <w:jc w:val="both"/>
        <w:rPr>
          <w:rFonts w:ascii="Times New Roman" w:hAnsi="Times New Roman" w:cs="Times New Roman"/>
          <w:sz w:val="24"/>
          <w:szCs w:val="24"/>
        </w:rPr>
      </w:pPr>
      <w:r w:rsidRPr="00207EB1">
        <w:rPr>
          <w:rFonts w:ascii="Times New Roman" w:hAnsi="Times New Roman" w:cs="Times New Roman"/>
          <w:sz w:val="24"/>
          <w:szCs w:val="24"/>
        </w:rPr>
        <w:t xml:space="preserve">Piemēram, ja kompetentā iestāde nosaka pienākumu atklāt informāciju par nepavadītu skaidru naudu, tad šādu iestādes lēmumu var un normālā gadījumā arī vajag izpildīt administratīvajā procesā. Projekta anotācijā ir jākonstatē, vai konkrētajā gadījumā notiek administratīvais process. Ja lieta ir uzsākta administratīvajā procesā, bet projekts paredz administratīvo atbildību, tad nepieciešams argumentēts pamatojums šādam izņēmumam. </w:t>
      </w:r>
    </w:p>
    <w:p w14:paraId="2988D04C" w14:textId="77777777" w:rsidR="00207EB1" w:rsidRPr="00207EB1" w:rsidRDefault="00207EB1" w:rsidP="00207EB1">
      <w:pPr>
        <w:jc w:val="both"/>
        <w:rPr>
          <w:rFonts w:ascii="Times New Roman" w:hAnsi="Times New Roman" w:cs="Times New Roman"/>
          <w:sz w:val="24"/>
          <w:szCs w:val="24"/>
        </w:rPr>
      </w:pPr>
      <w:r w:rsidRPr="00207EB1">
        <w:rPr>
          <w:rFonts w:ascii="Times New Roman" w:hAnsi="Times New Roman" w:cs="Times New Roman"/>
          <w:sz w:val="24"/>
          <w:szCs w:val="24"/>
        </w:rPr>
        <w:t>Kā minēts iepriekšējos Tieslietu ministrijas atzinumos, tad administratīvā atbildība par iestādes noteikta pienākuma atklāt informāciju nepildīšanu nebūtu paredzama. Attaisnojums izņēmumam konkrētajā gadījumā ir attiecīgajā regulā paredzētais skaidras naudas aizturēšanas pienākums, kura īstenošanai atbilstošāks ir tieši administratīvā pārkāpuma procesa regulējums. Tas ir galvenais pamatojums izņēmumam un kā tāds skaidri norādāms projekta anotācijā.</w:t>
      </w:r>
    </w:p>
    <w:p w14:paraId="00ABBB05" w14:textId="77777777" w:rsidR="00207EB1" w:rsidRPr="00207EB1" w:rsidRDefault="00207EB1" w:rsidP="00207EB1">
      <w:pPr>
        <w:jc w:val="both"/>
        <w:rPr>
          <w:rFonts w:ascii="Times New Roman" w:hAnsi="Times New Roman" w:cs="Times New Roman"/>
          <w:sz w:val="24"/>
          <w:szCs w:val="24"/>
        </w:rPr>
      </w:pPr>
      <w:r w:rsidRPr="00207EB1">
        <w:rPr>
          <w:rFonts w:ascii="Times New Roman" w:hAnsi="Times New Roman" w:cs="Times New Roman"/>
          <w:sz w:val="24"/>
          <w:szCs w:val="24"/>
        </w:rPr>
        <w:t>Turklāt pat tad, ja likumā vai regulā ir noteikts normatīvs pienākums, arī tas nav šķērslis, lai pienākuma izpildi īstenotu ar administratīvā procesa līdzekļiem. Piemēram, likumā var paredzēt tiesības iestādei noteikt pienākumu privātpersonai noteiktā laikā, veidā u. tml. novērst izdarīto pārkāpumu. Cits jautājums, vai konkrētajā gadījumā šāds risinājums ir atbilstošs efektīvas, atturošas un samērīgas sankcijas prasībām.</w:t>
      </w:r>
    </w:p>
    <w:p w14:paraId="57326643" w14:textId="77777777" w:rsidR="00207EB1" w:rsidRPr="00207EB1" w:rsidRDefault="00207EB1" w:rsidP="00207EB1">
      <w:pPr>
        <w:jc w:val="both"/>
        <w:rPr>
          <w:rFonts w:ascii="Times New Roman" w:hAnsi="Times New Roman" w:cs="Times New Roman"/>
          <w:sz w:val="24"/>
          <w:szCs w:val="24"/>
        </w:rPr>
      </w:pPr>
    </w:p>
    <w:p w14:paraId="438A0211" w14:textId="77777777" w:rsidR="00207EB1" w:rsidRPr="00207EB1" w:rsidRDefault="00207EB1" w:rsidP="00207EB1">
      <w:pPr>
        <w:jc w:val="both"/>
        <w:rPr>
          <w:rFonts w:ascii="Times New Roman" w:hAnsi="Times New Roman" w:cs="Times New Roman"/>
          <w:sz w:val="24"/>
          <w:szCs w:val="24"/>
        </w:rPr>
      </w:pPr>
      <w:r w:rsidRPr="00207EB1">
        <w:rPr>
          <w:rFonts w:ascii="Times New Roman" w:hAnsi="Times New Roman" w:cs="Times New Roman"/>
          <w:sz w:val="24"/>
          <w:szCs w:val="24"/>
        </w:rPr>
        <w:t>2. Projekta 8. pantā paredzēts fiksēta apmēra naudas sods – "divdesmit procentu apmērā no summas, kuru ir pienākums deklarēt vai par kuru ir pienākums atklāt informāciju" (nevis, piemēram, "līdz divdesmit procentiem"). Līdz ar to šajā gadījumā nepieciešams īpaši rūpīgi argumentēts pamatojums šāda soda apmēra pieļaujamībai. Tas attiecas arī uz spēkā esošo regulējumu.</w:t>
      </w:r>
    </w:p>
    <w:p w14:paraId="207E106F" w14:textId="77777777" w:rsidR="00207EB1" w:rsidRPr="00207EB1" w:rsidRDefault="00207EB1" w:rsidP="00207EB1">
      <w:pPr>
        <w:jc w:val="both"/>
        <w:rPr>
          <w:rFonts w:ascii="Times New Roman" w:hAnsi="Times New Roman" w:cs="Times New Roman"/>
          <w:sz w:val="24"/>
          <w:szCs w:val="24"/>
        </w:rPr>
      </w:pPr>
      <w:r w:rsidRPr="00207EB1">
        <w:rPr>
          <w:rFonts w:ascii="Times New Roman" w:hAnsi="Times New Roman" w:cs="Times New Roman"/>
          <w:sz w:val="24"/>
          <w:szCs w:val="24"/>
        </w:rPr>
        <w:t>2.1. Projekta anotācijā ir ietverta atsauce uz Administratīvās atbildības likuma 16. panta piekto daļu un šāds skaidrojums: "Ņemot vērā to, ka skaidras naudas, ko, šķērsojot valsts robežu, ieved Latvijas Republikā vai izved no tās, nedeklarēšana vai nepatiesa deklarēšana skar finanses un to kontroli, sods par šādu pārkāpumu nosakāms procentuāli no pienākuma neizpildes brīdī konstatētās skaidras naudas summas." Pat tad, ja pārkāpums ir finanšu, muitas un nodokļu jomā vai valsts regulēto sabiedrisko pakalpojumu nozarēs, tas automātiski nenozīmē, ka šajos gadījumos naudas sods ir jānosaka procentuāli. Administratīvās atbildības likuma 16. panta piektajā daļā ir paredzēts izņēmums naudas soda apmēram, tomēr tas pieļaujams vien "likumā īpaši paredzētos gadījumos", proti, tam nepieciešams īpašs pamatojums katrā konkrētajā gadījumā.</w:t>
      </w:r>
    </w:p>
    <w:p w14:paraId="1F492607" w14:textId="77777777" w:rsidR="00207EB1" w:rsidRPr="00207EB1" w:rsidRDefault="00207EB1" w:rsidP="00207EB1">
      <w:pPr>
        <w:jc w:val="both"/>
        <w:rPr>
          <w:rFonts w:ascii="Times New Roman" w:hAnsi="Times New Roman" w:cs="Times New Roman"/>
          <w:sz w:val="24"/>
          <w:szCs w:val="24"/>
        </w:rPr>
      </w:pPr>
      <w:r w:rsidRPr="00207EB1">
        <w:rPr>
          <w:rFonts w:ascii="Times New Roman" w:hAnsi="Times New Roman" w:cs="Times New Roman"/>
          <w:sz w:val="24"/>
          <w:szCs w:val="24"/>
        </w:rPr>
        <w:t xml:space="preserve">2.2. Projekta anotācijā norādīts: "Sankcija (veids un bardzība) par skaidras naudas informācijas atklāšanas pienākuma neizpildīšanu ir nosakāma atbilstoši regulas Nr. 2018/1672 1. pantā definētajam regulas mērķim [..]." Soda veids un apmērs pamatā nosakāms atbilstoši pārkāpuma smagumam. Regulas mērķis pats par sevi nenoteic konkrētā pārkāpuma smagumu. </w:t>
      </w:r>
    </w:p>
    <w:p w14:paraId="54449AC1" w14:textId="77777777" w:rsidR="00207EB1" w:rsidRPr="00207EB1" w:rsidRDefault="00207EB1" w:rsidP="00207EB1">
      <w:pPr>
        <w:jc w:val="both"/>
        <w:rPr>
          <w:rFonts w:ascii="Times New Roman" w:hAnsi="Times New Roman" w:cs="Times New Roman"/>
          <w:sz w:val="24"/>
          <w:szCs w:val="24"/>
        </w:rPr>
      </w:pPr>
      <w:r w:rsidRPr="00207EB1">
        <w:rPr>
          <w:rFonts w:ascii="Times New Roman" w:hAnsi="Times New Roman" w:cs="Times New Roman"/>
          <w:sz w:val="24"/>
          <w:szCs w:val="24"/>
        </w:rPr>
        <w:t xml:space="preserve">2.3. Projekta anotācijā norādīts: "Turklāt sankcija procentuālā apmērā no naudas summas, attiecībā uz kuru nav izpildīts deklarēšanas vai informācijas atklāšanas pienākums, ļauj personai, kurai ir pienākums deklarēt skaidru naudu vai atklāt informāciju par nepavadītu skaidru naudu, skaidri saprast, kādas sekas tai draud par attiecīgā pienākuma neizpildi. Tādējādi šāds regulējums ir papildus stimuls veicināt deklarēšanas vai informācijas pienākuma izpildi." Šāds apgalvojums </w:t>
      </w:r>
      <w:proofErr w:type="spellStart"/>
      <w:r w:rsidRPr="00207EB1">
        <w:rPr>
          <w:rFonts w:ascii="Times New Roman" w:hAnsi="Times New Roman" w:cs="Times New Roman"/>
          <w:sz w:val="24"/>
          <w:szCs w:val="24"/>
        </w:rPr>
        <w:t>tiklab</w:t>
      </w:r>
      <w:proofErr w:type="spellEnd"/>
      <w:r w:rsidRPr="00207EB1">
        <w:rPr>
          <w:rFonts w:ascii="Times New Roman" w:hAnsi="Times New Roman" w:cs="Times New Roman"/>
          <w:sz w:val="24"/>
          <w:szCs w:val="24"/>
        </w:rPr>
        <w:t xml:space="preserve"> attiecināms uz jebkuru pienācīgi noteiktu soda apmēru. Tā nav iezīme, kas ekskluzīvi piemistu tikai procentuālā apmērā noteiktam naudas sodam.</w:t>
      </w:r>
    </w:p>
    <w:p w14:paraId="66F1D180" w14:textId="77777777" w:rsidR="00207EB1" w:rsidRPr="00207EB1" w:rsidRDefault="00207EB1" w:rsidP="00207EB1">
      <w:pPr>
        <w:jc w:val="both"/>
        <w:rPr>
          <w:rFonts w:ascii="Times New Roman" w:hAnsi="Times New Roman" w:cs="Times New Roman"/>
          <w:sz w:val="24"/>
          <w:szCs w:val="24"/>
        </w:rPr>
      </w:pPr>
      <w:r w:rsidRPr="00207EB1">
        <w:rPr>
          <w:rFonts w:ascii="Times New Roman" w:hAnsi="Times New Roman" w:cs="Times New Roman"/>
          <w:sz w:val="24"/>
          <w:szCs w:val="24"/>
        </w:rPr>
        <w:lastRenderedPageBreak/>
        <w:t>2.4. Fiksēta apmēra naudas soda pieļaujamība ir vērtēta, piemēram, Satversmes tiesas 2021. gada 6. aprīļa spriedumā lietā Nr. 2020 31 01. Līdz ar to izmantojama šajā spriedumā lietotā pieeja un arī kritēriji, ciktāl tie attiecināmi uz konkrēto gadījumu.</w:t>
      </w:r>
    </w:p>
    <w:p w14:paraId="65FF1136" w14:textId="77777777" w:rsidR="00207EB1" w:rsidRPr="00207EB1" w:rsidRDefault="00207EB1" w:rsidP="00207EB1">
      <w:pPr>
        <w:jc w:val="both"/>
        <w:rPr>
          <w:rFonts w:ascii="Times New Roman" w:hAnsi="Times New Roman" w:cs="Times New Roman"/>
          <w:sz w:val="24"/>
          <w:szCs w:val="24"/>
        </w:rPr>
      </w:pPr>
      <w:r w:rsidRPr="00207EB1">
        <w:rPr>
          <w:rFonts w:ascii="Times New Roman" w:hAnsi="Times New Roman" w:cs="Times New Roman"/>
          <w:sz w:val="24"/>
          <w:szCs w:val="24"/>
        </w:rPr>
        <w:t>2.5. Sodu samērīgumu raksturo arī pakāpeniska (diferencēta) sodīšanas sistēma, proti, tas, cik lielā mērā sodi ir iedalīti atkarībā no pārkāpuma smaguma. Turklāt arī atsevišķa soda amplitūdai jābūt pietiekami lielai, lai piemērotājs varētu izvēlēties konkrētās lietas apstākļiem atbilstošāko soda apmēru (</w:t>
      </w:r>
      <w:proofErr w:type="spellStart"/>
      <w:r w:rsidRPr="00207EB1">
        <w:rPr>
          <w:rFonts w:ascii="Times New Roman" w:hAnsi="Times New Roman" w:cs="Times New Roman"/>
          <w:sz w:val="24"/>
          <w:szCs w:val="24"/>
        </w:rPr>
        <w:t>Evaluation</w:t>
      </w:r>
      <w:proofErr w:type="spellEnd"/>
      <w:r w:rsidRPr="00207EB1">
        <w:rPr>
          <w:rFonts w:ascii="Times New Roman" w:hAnsi="Times New Roman" w:cs="Times New Roman"/>
          <w:sz w:val="24"/>
          <w:szCs w:val="24"/>
        </w:rPr>
        <w:t xml:space="preserve"> </w:t>
      </w:r>
      <w:proofErr w:type="spellStart"/>
      <w:r w:rsidRPr="00207EB1">
        <w:rPr>
          <w:rFonts w:ascii="Times New Roman" w:hAnsi="Times New Roman" w:cs="Times New Roman"/>
          <w:sz w:val="24"/>
          <w:szCs w:val="24"/>
        </w:rPr>
        <w:t>Study</w:t>
      </w:r>
      <w:proofErr w:type="spellEnd"/>
      <w:r w:rsidRPr="00207EB1">
        <w:rPr>
          <w:rFonts w:ascii="Times New Roman" w:hAnsi="Times New Roman" w:cs="Times New Roman"/>
          <w:sz w:val="24"/>
          <w:szCs w:val="24"/>
        </w:rPr>
        <w:t xml:space="preserve"> </w:t>
      </w:r>
      <w:proofErr w:type="spellStart"/>
      <w:r w:rsidRPr="00207EB1">
        <w:rPr>
          <w:rFonts w:ascii="Times New Roman" w:hAnsi="Times New Roman" w:cs="Times New Roman"/>
          <w:sz w:val="24"/>
          <w:szCs w:val="24"/>
        </w:rPr>
        <w:t>on</w:t>
      </w:r>
      <w:proofErr w:type="spellEnd"/>
      <w:r w:rsidRPr="00207EB1">
        <w:rPr>
          <w:rFonts w:ascii="Times New Roman" w:hAnsi="Times New Roman" w:cs="Times New Roman"/>
          <w:sz w:val="24"/>
          <w:szCs w:val="24"/>
        </w:rPr>
        <w:t xml:space="preserve"> </w:t>
      </w:r>
      <w:proofErr w:type="spellStart"/>
      <w:r w:rsidRPr="00207EB1">
        <w:rPr>
          <w:rFonts w:ascii="Times New Roman" w:hAnsi="Times New Roman" w:cs="Times New Roman"/>
          <w:sz w:val="24"/>
          <w:szCs w:val="24"/>
        </w:rPr>
        <w:t>the</w:t>
      </w:r>
      <w:proofErr w:type="spellEnd"/>
      <w:r w:rsidRPr="00207EB1">
        <w:rPr>
          <w:rFonts w:ascii="Times New Roman" w:hAnsi="Times New Roman" w:cs="Times New Roman"/>
          <w:sz w:val="24"/>
          <w:szCs w:val="24"/>
        </w:rPr>
        <w:t xml:space="preserve"> </w:t>
      </w:r>
      <w:proofErr w:type="spellStart"/>
      <w:r w:rsidRPr="00207EB1">
        <w:rPr>
          <w:rFonts w:ascii="Times New Roman" w:hAnsi="Times New Roman" w:cs="Times New Roman"/>
          <w:sz w:val="24"/>
          <w:szCs w:val="24"/>
        </w:rPr>
        <w:t>Implementation</w:t>
      </w:r>
      <w:proofErr w:type="spellEnd"/>
      <w:r w:rsidRPr="00207EB1">
        <w:rPr>
          <w:rFonts w:ascii="Times New Roman" w:hAnsi="Times New Roman" w:cs="Times New Roman"/>
          <w:sz w:val="24"/>
          <w:szCs w:val="24"/>
        </w:rPr>
        <w:t xml:space="preserve"> </w:t>
      </w:r>
      <w:proofErr w:type="spellStart"/>
      <w:r w:rsidRPr="00207EB1">
        <w:rPr>
          <w:rFonts w:ascii="Times New Roman" w:hAnsi="Times New Roman" w:cs="Times New Roman"/>
          <w:sz w:val="24"/>
          <w:szCs w:val="24"/>
        </w:rPr>
        <w:t>of</w:t>
      </w:r>
      <w:proofErr w:type="spellEnd"/>
      <w:r w:rsidRPr="00207EB1">
        <w:rPr>
          <w:rFonts w:ascii="Times New Roman" w:hAnsi="Times New Roman" w:cs="Times New Roman"/>
          <w:sz w:val="24"/>
          <w:szCs w:val="24"/>
        </w:rPr>
        <w:t xml:space="preserve"> </w:t>
      </w:r>
      <w:proofErr w:type="spellStart"/>
      <w:r w:rsidRPr="00207EB1">
        <w:rPr>
          <w:rFonts w:ascii="Times New Roman" w:hAnsi="Times New Roman" w:cs="Times New Roman"/>
          <w:sz w:val="24"/>
          <w:szCs w:val="24"/>
        </w:rPr>
        <w:t>Directive</w:t>
      </w:r>
      <w:proofErr w:type="spellEnd"/>
      <w:r w:rsidRPr="00207EB1">
        <w:rPr>
          <w:rFonts w:ascii="Times New Roman" w:hAnsi="Times New Roman" w:cs="Times New Roman"/>
          <w:sz w:val="24"/>
          <w:szCs w:val="24"/>
        </w:rPr>
        <w:t xml:space="preserve"> 2008/99/EC </w:t>
      </w:r>
      <w:proofErr w:type="spellStart"/>
      <w:r w:rsidRPr="00207EB1">
        <w:rPr>
          <w:rFonts w:ascii="Times New Roman" w:hAnsi="Times New Roman" w:cs="Times New Roman"/>
          <w:sz w:val="24"/>
          <w:szCs w:val="24"/>
        </w:rPr>
        <w:t>on</w:t>
      </w:r>
      <w:proofErr w:type="spellEnd"/>
      <w:r w:rsidRPr="00207EB1">
        <w:rPr>
          <w:rFonts w:ascii="Times New Roman" w:hAnsi="Times New Roman" w:cs="Times New Roman"/>
          <w:sz w:val="24"/>
          <w:szCs w:val="24"/>
        </w:rPr>
        <w:t xml:space="preserve"> </w:t>
      </w:r>
      <w:proofErr w:type="spellStart"/>
      <w:r w:rsidRPr="00207EB1">
        <w:rPr>
          <w:rFonts w:ascii="Times New Roman" w:hAnsi="Times New Roman" w:cs="Times New Roman"/>
          <w:sz w:val="24"/>
          <w:szCs w:val="24"/>
        </w:rPr>
        <w:t>the</w:t>
      </w:r>
      <w:proofErr w:type="spellEnd"/>
      <w:r w:rsidRPr="00207EB1">
        <w:rPr>
          <w:rFonts w:ascii="Times New Roman" w:hAnsi="Times New Roman" w:cs="Times New Roman"/>
          <w:sz w:val="24"/>
          <w:szCs w:val="24"/>
        </w:rPr>
        <w:t xml:space="preserve"> </w:t>
      </w:r>
      <w:proofErr w:type="spellStart"/>
      <w:r w:rsidRPr="00207EB1">
        <w:rPr>
          <w:rFonts w:ascii="Times New Roman" w:hAnsi="Times New Roman" w:cs="Times New Roman"/>
          <w:sz w:val="24"/>
          <w:szCs w:val="24"/>
        </w:rPr>
        <w:t>Protection</w:t>
      </w:r>
      <w:proofErr w:type="spellEnd"/>
      <w:r w:rsidRPr="00207EB1">
        <w:rPr>
          <w:rFonts w:ascii="Times New Roman" w:hAnsi="Times New Roman" w:cs="Times New Roman"/>
          <w:sz w:val="24"/>
          <w:szCs w:val="24"/>
        </w:rPr>
        <w:t xml:space="preserve"> </w:t>
      </w:r>
      <w:proofErr w:type="spellStart"/>
      <w:r w:rsidRPr="00207EB1">
        <w:rPr>
          <w:rFonts w:ascii="Times New Roman" w:hAnsi="Times New Roman" w:cs="Times New Roman"/>
          <w:sz w:val="24"/>
          <w:szCs w:val="24"/>
        </w:rPr>
        <w:t>of</w:t>
      </w:r>
      <w:proofErr w:type="spellEnd"/>
      <w:r w:rsidRPr="00207EB1">
        <w:rPr>
          <w:rFonts w:ascii="Times New Roman" w:hAnsi="Times New Roman" w:cs="Times New Roman"/>
          <w:sz w:val="24"/>
          <w:szCs w:val="24"/>
        </w:rPr>
        <w:t xml:space="preserve"> </w:t>
      </w:r>
      <w:proofErr w:type="spellStart"/>
      <w:r w:rsidRPr="00207EB1">
        <w:rPr>
          <w:rFonts w:ascii="Times New Roman" w:hAnsi="Times New Roman" w:cs="Times New Roman"/>
          <w:sz w:val="24"/>
          <w:szCs w:val="24"/>
        </w:rPr>
        <w:t>the</w:t>
      </w:r>
      <w:proofErr w:type="spellEnd"/>
      <w:r w:rsidRPr="00207EB1">
        <w:rPr>
          <w:rFonts w:ascii="Times New Roman" w:hAnsi="Times New Roman" w:cs="Times New Roman"/>
          <w:sz w:val="24"/>
          <w:szCs w:val="24"/>
        </w:rPr>
        <w:t xml:space="preserve"> </w:t>
      </w:r>
      <w:proofErr w:type="spellStart"/>
      <w:r w:rsidRPr="00207EB1">
        <w:rPr>
          <w:rFonts w:ascii="Times New Roman" w:hAnsi="Times New Roman" w:cs="Times New Roman"/>
          <w:sz w:val="24"/>
          <w:szCs w:val="24"/>
        </w:rPr>
        <w:t>Environment</w:t>
      </w:r>
      <w:proofErr w:type="spellEnd"/>
      <w:r w:rsidRPr="00207EB1">
        <w:rPr>
          <w:rFonts w:ascii="Times New Roman" w:hAnsi="Times New Roman" w:cs="Times New Roman"/>
          <w:sz w:val="24"/>
          <w:szCs w:val="24"/>
        </w:rPr>
        <w:t xml:space="preserve"> </w:t>
      </w:r>
      <w:proofErr w:type="spellStart"/>
      <w:r w:rsidRPr="00207EB1">
        <w:rPr>
          <w:rFonts w:ascii="Times New Roman" w:hAnsi="Times New Roman" w:cs="Times New Roman"/>
          <w:sz w:val="24"/>
          <w:szCs w:val="24"/>
        </w:rPr>
        <w:t>through</w:t>
      </w:r>
      <w:proofErr w:type="spellEnd"/>
      <w:r w:rsidRPr="00207EB1">
        <w:rPr>
          <w:rFonts w:ascii="Times New Roman" w:hAnsi="Times New Roman" w:cs="Times New Roman"/>
          <w:sz w:val="24"/>
          <w:szCs w:val="24"/>
        </w:rPr>
        <w:t xml:space="preserve"> </w:t>
      </w:r>
      <w:proofErr w:type="spellStart"/>
      <w:r w:rsidRPr="00207EB1">
        <w:rPr>
          <w:rFonts w:ascii="Times New Roman" w:hAnsi="Times New Roman" w:cs="Times New Roman"/>
          <w:sz w:val="24"/>
          <w:szCs w:val="24"/>
        </w:rPr>
        <w:t>Criminal</w:t>
      </w:r>
      <w:proofErr w:type="spellEnd"/>
      <w:r w:rsidRPr="00207EB1">
        <w:rPr>
          <w:rFonts w:ascii="Times New Roman" w:hAnsi="Times New Roman" w:cs="Times New Roman"/>
          <w:sz w:val="24"/>
          <w:szCs w:val="24"/>
        </w:rPr>
        <w:t xml:space="preserve"> </w:t>
      </w:r>
      <w:proofErr w:type="spellStart"/>
      <w:r w:rsidRPr="00207EB1">
        <w:rPr>
          <w:rFonts w:ascii="Times New Roman" w:hAnsi="Times New Roman" w:cs="Times New Roman"/>
          <w:sz w:val="24"/>
          <w:szCs w:val="24"/>
        </w:rPr>
        <w:t>Law</w:t>
      </w:r>
      <w:proofErr w:type="spellEnd"/>
      <w:r w:rsidRPr="00207EB1">
        <w:rPr>
          <w:rFonts w:ascii="Times New Roman" w:hAnsi="Times New Roman" w:cs="Times New Roman"/>
          <w:sz w:val="24"/>
          <w:szCs w:val="24"/>
        </w:rPr>
        <w:t xml:space="preserve"> </w:t>
      </w:r>
      <w:proofErr w:type="spellStart"/>
      <w:r w:rsidRPr="00207EB1">
        <w:rPr>
          <w:rFonts w:ascii="Times New Roman" w:hAnsi="Times New Roman" w:cs="Times New Roman"/>
          <w:sz w:val="24"/>
          <w:szCs w:val="24"/>
        </w:rPr>
        <w:t>by</w:t>
      </w:r>
      <w:proofErr w:type="spellEnd"/>
      <w:r w:rsidRPr="00207EB1">
        <w:rPr>
          <w:rFonts w:ascii="Times New Roman" w:hAnsi="Times New Roman" w:cs="Times New Roman"/>
          <w:sz w:val="24"/>
          <w:szCs w:val="24"/>
        </w:rPr>
        <w:t xml:space="preserve"> </w:t>
      </w:r>
      <w:proofErr w:type="spellStart"/>
      <w:r w:rsidRPr="00207EB1">
        <w:rPr>
          <w:rFonts w:ascii="Times New Roman" w:hAnsi="Times New Roman" w:cs="Times New Roman"/>
          <w:sz w:val="24"/>
          <w:szCs w:val="24"/>
        </w:rPr>
        <w:t>Member</w:t>
      </w:r>
      <w:proofErr w:type="spellEnd"/>
      <w:r w:rsidRPr="00207EB1">
        <w:rPr>
          <w:rFonts w:ascii="Times New Roman" w:hAnsi="Times New Roman" w:cs="Times New Roman"/>
          <w:sz w:val="24"/>
          <w:szCs w:val="24"/>
        </w:rPr>
        <w:t xml:space="preserve"> </w:t>
      </w:r>
      <w:proofErr w:type="spellStart"/>
      <w:r w:rsidRPr="00207EB1">
        <w:rPr>
          <w:rFonts w:ascii="Times New Roman" w:hAnsi="Times New Roman" w:cs="Times New Roman"/>
          <w:sz w:val="24"/>
          <w:szCs w:val="24"/>
        </w:rPr>
        <w:t>States</w:t>
      </w:r>
      <w:proofErr w:type="spellEnd"/>
      <w:r w:rsidRPr="00207EB1">
        <w:rPr>
          <w:rFonts w:ascii="Times New Roman" w:hAnsi="Times New Roman" w:cs="Times New Roman"/>
          <w:sz w:val="24"/>
          <w:szCs w:val="24"/>
        </w:rPr>
        <w:t xml:space="preserve">. </w:t>
      </w:r>
      <w:proofErr w:type="spellStart"/>
      <w:r w:rsidRPr="00207EB1">
        <w:rPr>
          <w:rFonts w:ascii="Times New Roman" w:hAnsi="Times New Roman" w:cs="Times New Roman"/>
          <w:sz w:val="24"/>
          <w:szCs w:val="24"/>
        </w:rPr>
        <w:t>Brussels</w:t>
      </w:r>
      <w:proofErr w:type="spellEnd"/>
      <w:r w:rsidRPr="00207EB1">
        <w:rPr>
          <w:rFonts w:ascii="Times New Roman" w:hAnsi="Times New Roman" w:cs="Times New Roman"/>
          <w:sz w:val="24"/>
          <w:szCs w:val="24"/>
        </w:rPr>
        <w:t xml:space="preserve">: 2014, p. 83). Tomēr tas pilnībā neizslēdz iespēju noteikt fiksēta apmēra sodus, ja vien jau likumā noteiktā sodu sistēma pati par sevi ir samērīga (Ģenerāladvokāta </w:t>
      </w:r>
      <w:proofErr w:type="spellStart"/>
      <w:r w:rsidRPr="00207EB1">
        <w:rPr>
          <w:rFonts w:ascii="Times New Roman" w:hAnsi="Times New Roman" w:cs="Times New Roman"/>
          <w:sz w:val="24"/>
          <w:szCs w:val="24"/>
        </w:rPr>
        <w:t>Mihala</w:t>
      </w:r>
      <w:proofErr w:type="spellEnd"/>
      <w:r w:rsidRPr="00207EB1">
        <w:rPr>
          <w:rFonts w:ascii="Times New Roman" w:hAnsi="Times New Roman" w:cs="Times New Roman"/>
          <w:sz w:val="24"/>
          <w:szCs w:val="24"/>
        </w:rPr>
        <w:t xml:space="preserve"> </w:t>
      </w:r>
      <w:proofErr w:type="spellStart"/>
      <w:r w:rsidRPr="00207EB1">
        <w:rPr>
          <w:rFonts w:ascii="Times New Roman" w:hAnsi="Times New Roman" w:cs="Times New Roman"/>
          <w:sz w:val="24"/>
          <w:szCs w:val="24"/>
        </w:rPr>
        <w:t>Bobeka</w:t>
      </w:r>
      <w:proofErr w:type="spellEnd"/>
      <w:r w:rsidRPr="00207EB1">
        <w:rPr>
          <w:rFonts w:ascii="Times New Roman" w:hAnsi="Times New Roman" w:cs="Times New Roman"/>
          <w:sz w:val="24"/>
          <w:szCs w:val="24"/>
        </w:rPr>
        <w:t xml:space="preserve"> 2018. gada 26. jūnija secinājumu lietā C-384/17 44. punkts). Sods nevar tikt uzskatīts par samērīguma principam pretrunā esošu tikai tādēļ, ka nav paredzēta iespēja tiesai mainīt tā apmēru (Eiropas Savienības Tiesas 2013. gada 17. oktobra sprieduma lietā C-203/12 38. punkts). Taču, jo bargāki sodi, jo lielāka ir nepieciešamība ņemt vērā katras lietas individuālos apstākļus un attiecīgi tiesību normu piemērotājam nepieciešamas pilnvaras konkrētajā gadījumā izvēlēties soda veidu un mēru vai to grozīt (Ģenerāladvokāta </w:t>
      </w:r>
      <w:proofErr w:type="spellStart"/>
      <w:r w:rsidRPr="00207EB1">
        <w:rPr>
          <w:rFonts w:ascii="Times New Roman" w:hAnsi="Times New Roman" w:cs="Times New Roman"/>
          <w:sz w:val="24"/>
          <w:szCs w:val="24"/>
        </w:rPr>
        <w:t>Mihala</w:t>
      </w:r>
      <w:proofErr w:type="spellEnd"/>
      <w:r w:rsidRPr="00207EB1">
        <w:rPr>
          <w:rFonts w:ascii="Times New Roman" w:hAnsi="Times New Roman" w:cs="Times New Roman"/>
          <w:sz w:val="24"/>
          <w:szCs w:val="24"/>
        </w:rPr>
        <w:t xml:space="preserve"> </w:t>
      </w:r>
      <w:proofErr w:type="spellStart"/>
      <w:r w:rsidRPr="00207EB1">
        <w:rPr>
          <w:rFonts w:ascii="Times New Roman" w:hAnsi="Times New Roman" w:cs="Times New Roman"/>
          <w:sz w:val="24"/>
          <w:szCs w:val="24"/>
        </w:rPr>
        <w:t>Bobeka</w:t>
      </w:r>
      <w:proofErr w:type="spellEnd"/>
      <w:r w:rsidRPr="00207EB1">
        <w:rPr>
          <w:rFonts w:ascii="Times New Roman" w:hAnsi="Times New Roman" w:cs="Times New Roman"/>
          <w:sz w:val="24"/>
          <w:szCs w:val="24"/>
        </w:rPr>
        <w:t xml:space="preserve"> 2018. gada 26. jūnija secinājumu lietā C-384/17 44. punkts).</w:t>
      </w:r>
    </w:p>
    <w:p w14:paraId="05442C2C" w14:textId="77777777" w:rsidR="00207EB1" w:rsidRPr="00207EB1" w:rsidRDefault="00207EB1" w:rsidP="00207EB1">
      <w:pPr>
        <w:rPr>
          <w:rFonts w:ascii="Times New Roman" w:hAnsi="Times New Roman" w:cs="Times New Roman"/>
          <w:sz w:val="24"/>
          <w:szCs w:val="24"/>
        </w:rPr>
      </w:pPr>
    </w:p>
    <w:p w14:paraId="235F4883" w14:textId="77777777" w:rsidR="00207EB1" w:rsidRPr="00207EB1" w:rsidRDefault="00207EB1" w:rsidP="00207EB1">
      <w:pPr>
        <w:rPr>
          <w:rFonts w:ascii="Times New Roman" w:hAnsi="Times New Roman" w:cs="Times New Roman"/>
        </w:rPr>
      </w:pPr>
      <w:r w:rsidRPr="00207EB1">
        <w:rPr>
          <w:rFonts w:ascii="Times New Roman" w:hAnsi="Times New Roman" w:cs="Times New Roman"/>
        </w:rPr>
        <w:t>Andras Reinfeldes vietā –</w:t>
      </w:r>
    </w:p>
    <w:p w14:paraId="196D89BB" w14:textId="77777777" w:rsidR="00207EB1" w:rsidRPr="00207EB1" w:rsidRDefault="00207EB1" w:rsidP="00207EB1">
      <w:pPr>
        <w:rPr>
          <w:rFonts w:ascii="Times New Roman" w:hAnsi="Times New Roman" w:cs="Times New Roman"/>
        </w:rPr>
      </w:pPr>
    </w:p>
    <w:p w14:paraId="1A4990FF" w14:textId="77777777" w:rsidR="00207EB1" w:rsidRPr="00207EB1" w:rsidRDefault="00207EB1" w:rsidP="00207EB1">
      <w:pPr>
        <w:rPr>
          <w:rFonts w:ascii="Times New Roman" w:hAnsi="Times New Roman" w:cs="Times New Roman"/>
        </w:rPr>
      </w:pPr>
      <w:r w:rsidRPr="00207EB1">
        <w:rPr>
          <w:rFonts w:ascii="Times New Roman" w:hAnsi="Times New Roman" w:cs="Times New Roman"/>
        </w:rPr>
        <w:t>Edgars Gūte</w:t>
      </w:r>
    </w:p>
    <w:p w14:paraId="134C33BF" w14:textId="77777777" w:rsidR="00207EB1" w:rsidRPr="00207EB1" w:rsidRDefault="00207EB1" w:rsidP="00207EB1">
      <w:pPr>
        <w:rPr>
          <w:rFonts w:ascii="Times New Roman" w:hAnsi="Times New Roman" w:cs="Times New Roman"/>
        </w:rPr>
      </w:pPr>
      <w:r w:rsidRPr="00207EB1">
        <w:rPr>
          <w:rFonts w:ascii="Times New Roman" w:hAnsi="Times New Roman" w:cs="Times New Roman"/>
        </w:rPr>
        <w:t>Tieslietu ministrijas</w:t>
      </w:r>
    </w:p>
    <w:p w14:paraId="6D69E732" w14:textId="77777777" w:rsidR="00207EB1" w:rsidRPr="00207EB1" w:rsidRDefault="00207EB1" w:rsidP="00207EB1">
      <w:pPr>
        <w:rPr>
          <w:rFonts w:ascii="Times New Roman" w:hAnsi="Times New Roman" w:cs="Times New Roman"/>
        </w:rPr>
      </w:pPr>
      <w:r w:rsidRPr="00207EB1">
        <w:rPr>
          <w:rFonts w:ascii="Times New Roman" w:hAnsi="Times New Roman" w:cs="Times New Roman"/>
        </w:rPr>
        <w:t xml:space="preserve">Valststiesību departamenta Starptautisko publisko tiesību nodaļas jurists, </w:t>
      </w:r>
    </w:p>
    <w:p w14:paraId="12D76DF1" w14:textId="77777777" w:rsidR="00207EB1" w:rsidRPr="00207EB1" w:rsidRDefault="00207EB1" w:rsidP="00207EB1">
      <w:pPr>
        <w:rPr>
          <w:rFonts w:ascii="Times New Roman" w:hAnsi="Times New Roman" w:cs="Times New Roman"/>
          <w:lang w:val="fr-BE"/>
        </w:rPr>
      </w:pPr>
      <w:r w:rsidRPr="00207EB1">
        <w:rPr>
          <w:rFonts w:ascii="Times New Roman" w:hAnsi="Times New Roman" w:cs="Times New Roman"/>
          <w:lang w:val="fr-BE"/>
        </w:rPr>
        <w:t xml:space="preserve">67046104, </w:t>
      </w:r>
      <w:hyperlink r:id="rId11" w:history="1">
        <w:r w:rsidRPr="00207EB1">
          <w:rPr>
            <w:rStyle w:val="Hyperlink"/>
            <w:rFonts w:ascii="Times New Roman" w:hAnsi="Times New Roman" w:cs="Times New Roman"/>
            <w:lang w:val="fr-BE"/>
          </w:rPr>
          <w:t>edgars.gute@tm.gov.lv</w:t>
        </w:r>
      </w:hyperlink>
    </w:p>
    <w:p w14:paraId="6DA164EE" w14:textId="77777777" w:rsidR="00207EB1" w:rsidRPr="00207EB1" w:rsidRDefault="00207EB1" w:rsidP="00207EB1">
      <w:pPr>
        <w:rPr>
          <w:rFonts w:ascii="Times New Roman" w:hAnsi="Times New Roman" w:cs="Times New Roman"/>
          <w:lang w:val="fr-BE"/>
        </w:rPr>
      </w:pPr>
    </w:p>
    <w:p w14:paraId="63A9E902" w14:textId="77777777" w:rsidR="00207EB1" w:rsidRPr="00207EB1" w:rsidRDefault="00207EB1" w:rsidP="00207EB1">
      <w:pPr>
        <w:rPr>
          <w:rFonts w:ascii="Times New Roman" w:hAnsi="Times New Roman" w:cs="Times New Roman"/>
        </w:rPr>
      </w:pPr>
      <w:r w:rsidRPr="00207EB1">
        <w:rPr>
          <w:rFonts w:ascii="Times New Roman" w:hAnsi="Times New Roman" w:cs="Times New Roman"/>
        </w:rPr>
        <w:t>Sandis Vilcāns</w:t>
      </w:r>
    </w:p>
    <w:p w14:paraId="6CAF37B0" w14:textId="77777777" w:rsidR="00207EB1" w:rsidRPr="00207EB1" w:rsidRDefault="00207EB1" w:rsidP="00207EB1">
      <w:pPr>
        <w:rPr>
          <w:rFonts w:ascii="Times New Roman" w:hAnsi="Times New Roman" w:cs="Times New Roman"/>
        </w:rPr>
      </w:pPr>
      <w:r w:rsidRPr="00207EB1">
        <w:rPr>
          <w:rFonts w:ascii="Times New Roman" w:hAnsi="Times New Roman" w:cs="Times New Roman"/>
        </w:rPr>
        <w:t>Tieslietu ministrijas</w:t>
      </w:r>
    </w:p>
    <w:p w14:paraId="18F84E1B" w14:textId="77777777" w:rsidR="00207EB1" w:rsidRPr="00207EB1" w:rsidRDefault="00207EB1" w:rsidP="00207EB1">
      <w:pPr>
        <w:rPr>
          <w:rFonts w:ascii="Times New Roman" w:hAnsi="Times New Roman" w:cs="Times New Roman"/>
        </w:rPr>
      </w:pPr>
      <w:r w:rsidRPr="00207EB1">
        <w:rPr>
          <w:rFonts w:ascii="Times New Roman" w:hAnsi="Times New Roman" w:cs="Times New Roman"/>
        </w:rPr>
        <w:t>Administratīvās atbildības politikas nodaļas jurists</w:t>
      </w:r>
    </w:p>
    <w:p w14:paraId="08D91C55" w14:textId="77777777" w:rsidR="00207EB1" w:rsidRPr="00207EB1" w:rsidRDefault="00207EB1" w:rsidP="00207EB1">
      <w:pPr>
        <w:rPr>
          <w:rFonts w:ascii="Times New Roman" w:hAnsi="Times New Roman" w:cs="Times New Roman"/>
        </w:rPr>
      </w:pPr>
      <w:r w:rsidRPr="00207EB1">
        <w:rPr>
          <w:rFonts w:ascii="Times New Roman" w:hAnsi="Times New Roman" w:cs="Times New Roman"/>
        </w:rPr>
        <w:t xml:space="preserve">67036901, </w:t>
      </w:r>
      <w:hyperlink r:id="rId12" w:history="1">
        <w:r w:rsidRPr="00207EB1">
          <w:rPr>
            <w:rStyle w:val="Hyperlink"/>
            <w:rFonts w:ascii="Times New Roman" w:hAnsi="Times New Roman" w:cs="Times New Roman"/>
          </w:rPr>
          <w:t>sandis.vilcans@tm.gov.lv</w:t>
        </w:r>
      </w:hyperlink>
    </w:p>
    <w:p w14:paraId="0C20970A" w14:textId="77777777" w:rsidR="00207EB1" w:rsidRPr="00207EB1" w:rsidRDefault="00207EB1" w:rsidP="00207EB1">
      <w:pPr>
        <w:rPr>
          <w:rFonts w:ascii="Times New Roman" w:hAnsi="Times New Roman" w:cs="Times New Roman"/>
          <w:sz w:val="24"/>
          <w:szCs w:val="24"/>
        </w:rPr>
      </w:pPr>
    </w:p>
    <w:p w14:paraId="3093319D" w14:textId="77777777" w:rsidR="004936F1" w:rsidRPr="00207EB1" w:rsidRDefault="004936F1">
      <w:pPr>
        <w:rPr>
          <w:rFonts w:ascii="Times New Roman" w:hAnsi="Times New Roman" w:cs="Times New Roman"/>
          <w:sz w:val="24"/>
          <w:szCs w:val="24"/>
        </w:rPr>
      </w:pPr>
    </w:p>
    <w:sectPr w:rsidR="004936F1" w:rsidRPr="00207EB1" w:rsidSect="00207EB1">
      <w:headerReference w:type="even" r:id="rId13"/>
      <w:headerReference w:type="default" r:id="rId14"/>
      <w:footerReference w:type="even" r:id="rId15"/>
      <w:footerReference w:type="default" r:id="rId16"/>
      <w:headerReference w:type="first" r:id="rId17"/>
      <w:footerReference w:type="first" r:id="rId18"/>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D939C" w14:textId="77777777" w:rsidR="004D237A" w:rsidRDefault="004D237A" w:rsidP="00207EB1">
      <w:r>
        <w:separator/>
      </w:r>
    </w:p>
  </w:endnote>
  <w:endnote w:type="continuationSeparator" w:id="0">
    <w:p w14:paraId="513FC39A" w14:textId="77777777" w:rsidR="004D237A" w:rsidRDefault="004D237A" w:rsidP="00207E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33F85" w14:textId="77777777" w:rsidR="00207EB1" w:rsidRDefault="00207E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F0E4C" w14:textId="2318B478" w:rsidR="00207EB1" w:rsidRPr="006D20D7" w:rsidRDefault="00207EB1">
    <w:pPr>
      <w:pStyle w:val="Footer"/>
      <w:rPr>
        <w:sz w:val="20"/>
        <w:szCs w:val="20"/>
      </w:rPr>
    </w:pPr>
    <w:r w:rsidRPr="006D20D7">
      <w:rPr>
        <w:rFonts w:ascii="Times New Roman" w:hAnsi="Times New Roman" w:cs="Times New Roman"/>
        <w:sz w:val="20"/>
        <w:szCs w:val="20"/>
        <w:lang w:val="en-US"/>
      </w:rPr>
      <w:t>TMatz_161121_VSS-349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F9D61" w14:textId="77777777" w:rsidR="00207EB1" w:rsidRDefault="00207E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3389FB" w14:textId="77777777" w:rsidR="004D237A" w:rsidRDefault="004D237A" w:rsidP="00207EB1">
      <w:r>
        <w:separator/>
      </w:r>
    </w:p>
  </w:footnote>
  <w:footnote w:type="continuationSeparator" w:id="0">
    <w:p w14:paraId="4AC5C517" w14:textId="77777777" w:rsidR="004D237A" w:rsidRDefault="004D237A" w:rsidP="00207E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986E0" w14:textId="77777777" w:rsidR="00207EB1" w:rsidRDefault="00207E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02EF0" w14:textId="77777777" w:rsidR="00207EB1" w:rsidRDefault="00207EB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E04CE" w14:textId="77777777" w:rsidR="00207EB1" w:rsidRDefault="00207EB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EB1"/>
    <w:rsid w:val="0004496B"/>
    <w:rsid w:val="00207EB1"/>
    <w:rsid w:val="004936F1"/>
    <w:rsid w:val="004D237A"/>
    <w:rsid w:val="006D20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DB5D7"/>
  <w15:chartTrackingRefBased/>
  <w15:docId w15:val="{2FA6B566-1EC9-44C0-8A82-3C77987D8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7EB1"/>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07EB1"/>
    <w:rPr>
      <w:color w:val="0563C1"/>
      <w:u w:val="single"/>
    </w:rPr>
  </w:style>
  <w:style w:type="paragraph" w:styleId="Header">
    <w:name w:val="header"/>
    <w:basedOn w:val="Normal"/>
    <w:link w:val="HeaderChar"/>
    <w:uiPriority w:val="99"/>
    <w:unhideWhenUsed/>
    <w:rsid w:val="00207EB1"/>
    <w:pPr>
      <w:tabs>
        <w:tab w:val="center" w:pos="4153"/>
        <w:tab w:val="right" w:pos="8306"/>
      </w:tabs>
    </w:pPr>
  </w:style>
  <w:style w:type="character" w:customStyle="1" w:styleId="HeaderChar">
    <w:name w:val="Header Char"/>
    <w:basedOn w:val="DefaultParagraphFont"/>
    <w:link w:val="Header"/>
    <w:uiPriority w:val="99"/>
    <w:rsid w:val="00207EB1"/>
    <w:rPr>
      <w:rFonts w:ascii="Calibri" w:hAnsi="Calibri" w:cs="Calibri"/>
      <w:lang w:eastAsia="lv-LV"/>
    </w:rPr>
  </w:style>
  <w:style w:type="paragraph" w:styleId="Footer">
    <w:name w:val="footer"/>
    <w:basedOn w:val="Normal"/>
    <w:link w:val="FooterChar"/>
    <w:uiPriority w:val="99"/>
    <w:unhideWhenUsed/>
    <w:rsid w:val="00207EB1"/>
    <w:pPr>
      <w:tabs>
        <w:tab w:val="center" w:pos="4153"/>
        <w:tab w:val="right" w:pos="8306"/>
      </w:tabs>
    </w:pPr>
  </w:style>
  <w:style w:type="character" w:customStyle="1" w:styleId="FooterChar">
    <w:name w:val="Footer Char"/>
    <w:basedOn w:val="DefaultParagraphFont"/>
    <w:link w:val="Footer"/>
    <w:uiPriority w:val="99"/>
    <w:rsid w:val="00207EB1"/>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1289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dis.Vilcans@tm.gov.lv"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mailto:irita.tomina@fm.gov.lv" TargetMode="External"/><Relationship Id="rId12" Type="http://schemas.openxmlformats.org/officeDocument/2006/relationships/hyperlink" Target="mailto:sandis.vilcans@tm.gov.lv" TargetMode="External"/><Relationship Id="rId17"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Edgars.Gute@tm.gov.lv" TargetMode="External"/><Relationship Id="rId11" Type="http://schemas.openxmlformats.org/officeDocument/2006/relationships/hyperlink" Target="mailto:edgars.gute@tm.gov.lv"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polsis.mk.gov.lv/"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Andra.Reinfelde@TM.GOV.L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6475</Words>
  <Characters>3692</Characters>
  <Application>Microsoft Office Word</Application>
  <DocSecurity>0</DocSecurity>
  <Lines>30</Lines>
  <Paragraphs>20</Paragraphs>
  <ScaleCrop>false</ScaleCrop>
  <Company/>
  <LinksUpToDate>false</LinksUpToDate>
  <CharactersWithSpaces>10147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Irita Tomiņa</dc:creator>
  <cp:keywords/>
  <dc:description/>
  <cp:lastModifiedBy>Irita Tomiņa</cp:lastModifiedBy>
  <cp:revision>2</cp:revision>
  <dcterms:created xsi:type="dcterms:W3CDTF">2022-04-12T10:09:00Z</dcterms:created>
  <dcterms:modified xsi:type="dcterms:W3CDTF">2022-04-12T10:15:00Z</dcterms:modified>
</cp:coreProperties>
</file>