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6B9D0BA" w14:textId="76A7E560" w:rsidR="00DB6626" w:rsidRPr="00FE7ACA" w:rsidRDefault="00FE7ACA">
      <w:pPr>
        <w:spacing w:after="240"/>
        <w:jc w:val="center"/>
        <w:rPr>
          <w:b/>
          <w:sz w:val="24"/>
          <w:szCs w:val="24"/>
        </w:rPr>
      </w:pPr>
      <w:r w:rsidRPr="00FE7ACA">
        <w:rPr>
          <w:b/>
          <w:sz w:val="24"/>
          <w:szCs w:val="24"/>
        </w:rPr>
        <w:t xml:space="preserve">“Publiskās apspriešanas laikā 02.01.2025. - 16.01.2025. saņemto viedokļu, priekšlikumu un iebildumu apkopojums par Grozījumi Ministru kabineta 2011. gada 15. novembra noteikumos Nr. </w:t>
      </w:r>
      <w:r w:rsidRPr="00FE7ACA">
        <w:rPr>
          <w:b/>
          <w:sz w:val="24"/>
          <w:szCs w:val="24"/>
        </w:rPr>
        <w:t>880 “</w:t>
      </w:r>
      <w:r w:rsidRPr="00FE7ACA">
        <w:rPr>
          <w:b/>
          <w:sz w:val="24"/>
          <w:szCs w:val="24"/>
        </w:rPr>
        <w:t>Govju enzootiskās leikozes uzraudzības, kontroles un apkarošanas kārtība””</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84"/>
        <w:gridCol w:w="2410"/>
        <w:gridCol w:w="6662"/>
        <w:gridCol w:w="1843"/>
        <w:gridCol w:w="2868"/>
      </w:tblGrid>
      <w:tr w:rsidR="00DB6626" w:rsidRPr="00FE7ACA" w14:paraId="73EDA537" w14:textId="77777777" w:rsidTr="00FE7ACA">
        <w:tc>
          <w:tcPr>
            <w:tcW w:w="784" w:type="dxa"/>
            <w:shd w:val="clear" w:color="auto" w:fill="FFFFFF"/>
            <w:noWrap/>
            <w:tcMar>
              <w:top w:w="75" w:type="dxa"/>
              <w:left w:w="75" w:type="dxa"/>
              <w:bottom w:w="75" w:type="dxa"/>
              <w:right w:w="75" w:type="dxa"/>
            </w:tcMar>
            <w:vAlign w:val="center"/>
          </w:tcPr>
          <w:p w14:paraId="318954A6" w14:textId="77777777" w:rsidR="00DB6626" w:rsidRPr="00FE7ACA" w:rsidRDefault="00FE7ACA">
            <w:pPr>
              <w:jc w:val="center"/>
              <w:rPr>
                <w:sz w:val="20"/>
              </w:rPr>
            </w:pPr>
            <w:proofErr w:type="spellStart"/>
            <w:r w:rsidRPr="00FE7ACA">
              <w:rPr>
                <w:b/>
                <w:sz w:val="20"/>
              </w:rPr>
              <w:t>Nr.p.k</w:t>
            </w:r>
            <w:proofErr w:type="spellEnd"/>
            <w:r w:rsidRPr="00FE7ACA">
              <w:rPr>
                <w:b/>
                <w:sz w:val="20"/>
              </w:rPr>
              <w:t>.</w:t>
            </w:r>
          </w:p>
        </w:tc>
        <w:tc>
          <w:tcPr>
            <w:tcW w:w="2410" w:type="dxa"/>
            <w:shd w:val="clear" w:color="auto" w:fill="FFFFFF"/>
            <w:noWrap/>
            <w:tcMar>
              <w:top w:w="75" w:type="dxa"/>
              <w:left w:w="75" w:type="dxa"/>
              <w:bottom w:w="75" w:type="dxa"/>
              <w:right w:w="75" w:type="dxa"/>
            </w:tcMar>
            <w:vAlign w:val="center"/>
          </w:tcPr>
          <w:p w14:paraId="7C813F6A" w14:textId="77777777" w:rsidR="00DB6626" w:rsidRPr="00FE7ACA" w:rsidRDefault="00FE7ACA">
            <w:pPr>
              <w:jc w:val="center"/>
              <w:rPr>
                <w:sz w:val="20"/>
              </w:rPr>
            </w:pPr>
            <w:r w:rsidRPr="00FE7ACA">
              <w:rPr>
                <w:b/>
                <w:sz w:val="20"/>
              </w:rPr>
              <w:t>Viedokļa / priekšlikuma / iebilduma iesniedzējs*</w:t>
            </w:r>
          </w:p>
        </w:tc>
        <w:tc>
          <w:tcPr>
            <w:tcW w:w="6662" w:type="dxa"/>
            <w:shd w:val="clear" w:color="auto" w:fill="FFFFFF"/>
            <w:noWrap/>
            <w:tcMar>
              <w:top w:w="75" w:type="dxa"/>
              <w:left w:w="75" w:type="dxa"/>
              <w:bottom w:w="75" w:type="dxa"/>
              <w:right w:w="75" w:type="dxa"/>
            </w:tcMar>
            <w:vAlign w:val="center"/>
          </w:tcPr>
          <w:p w14:paraId="056AC0EB" w14:textId="77777777" w:rsidR="00DB6626" w:rsidRPr="00FE7ACA" w:rsidRDefault="00FE7ACA">
            <w:pPr>
              <w:jc w:val="center"/>
              <w:rPr>
                <w:sz w:val="20"/>
              </w:rPr>
            </w:pPr>
            <w:r w:rsidRPr="00FE7ACA">
              <w:rPr>
                <w:b/>
                <w:sz w:val="20"/>
              </w:rPr>
              <w:t>Iesniegtā viedokļa / priekšlikuma / iebilduma būtība</w:t>
            </w:r>
          </w:p>
        </w:tc>
        <w:tc>
          <w:tcPr>
            <w:tcW w:w="1843" w:type="dxa"/>
            <w:shd w:val="clear" w:color="auto" w:fill="FFFFFF"/>
            <w:noWrap/>
            <w:tcMar>
              <w:top w:w="75" w:type="dxa"/>
              <w:left w:w="75" w:type="dxa"/>
              <w:bottom w:w="75" w:type="dxa"/>
              <w:right w:w="75" w:type="dxa"/>
            </w:tcMar>
            <w:vAlign w:val="center"/>
          </w:tcPr>
          <w:p w14:paraId="6B77B123" w14:textId="77777777" w:rsidR="00DB6626" w:rsidRPr="00FE7ACA" w:rsidRDefault="00FE7ACA">
            <w:pPr>
              <w:jc w:val="center"/>
              <w:rPr>
                <w:sz w:val="20"/>
              </w:rPr>
            </w:pPr>
            <w:r w:rsidRPr="00FE7ACA">
              <w:rPr>
                <w:b/>
                <w:sz w:val="20"/>
              </w:rPr>
              <w:t>Ņemts vērā / ņemts vērā daļēji / nav ņemts vērā</w:t>
            </w:r>
          </w:p>
        </w:tc>
        <w:tc>
          <w:tcPr>
            <w:tcW w:w="2868" w:type="dxa"/>
            <w:shd w:val="clear" w:color="auto" w:fill="FFFFFF"/>
            <w:noWrap/>
            <w:tcMar>
              <w:top w:w="75" w:type="dxa"/>
              <w:left w:w="75" w:type="dxa"/>
              <w:bottom w:w="75" w:type="dxa"/>
              <w:right w:w="75" w:type="dxa"/>
            </w:tcMar>
            <w:vAlign w:val="center"/>
          </w:tcPr>
          <w:p w14:paraId="69D38DA3" w14:textId="77777777" w:rsidR="00DB6626" w:rsidRPr="00FE7ACA" w:rsidRDefault="00FE7ACA">
            <w:pPr>
              <w:jc w:val="center"/>
              <w:rPr>
                <w:sz w:val="20"/>
              </w:rPr>
            </w:pPr>
            <w:r w:rsidRPr="00FE7ACA">
              <w:rPr>
                <w:b/>
                <w:sz w:val="20"/>
              </w:rPr>
              <w:t>Skaidrojums, kādā veidā viedoklis / priekšlikums / iebildums ir ņemts vērā vai ņemts vērā daļēji, vai pamatojums, ja viedoklis / priekšlikums / iebildums nav ņemts vērā</w:t>
            </w:r>
          </w:p>
        </w:tc>
      </w:tr>
      <w:tr w:rsidR="00FE7ACA" w:rsidRPr="00FE7ACA" w14:paraId="0A16EB61" w14:textId="77777777" w:rsidTr="00FE7ACA">
        <w:tc>
          <w:tcPr>
            <w:tcW w:w="784" w:type="dxa"/>
            <w:shd w:val="clear" w:color="auto" w:fill="FFFFFF"/>
            <w:noWrap/>
            <w:tcMar>
              <w:top w:w="75" w:type="dxa"/>
              <w:left w:w="75" w:type="dxa"/>
              <w:bottom w:w="75" w:type="dxa"/>
              <w:right w:w="75" w:type="dxa"/>
            </w:tcMar>
            <w:vAlign w:val="center"/>
          </w:tcPr>
          <w:p w14:paraId="368E4071" w14:textId="290B68D4" w:rsidR="00FE7ACA" w:rsidRPr="00FE7ACA" w:rsidRDefault="00FE7ACA">
            <w:pPr>
              <w:jc w:val="center"/>
              <w:rPr>
                <w:bCs/>
                <w:sz w:val="20"/>
              </w:rPr>
            </w:pPr>
            <w:r w:rsidRPr="00FE7ACA">
              <w:rPr>
                <w:bCs/>
                <w:sz w:val="20"/>
              </w:rPr>
              <w:t>1.</w:t>
            </w:r>
          </w:p>
        </w:tc>
        <w:tc>
          <w:tcPr>
            <w:tcW w:w="2410" w:type="dxa"/>
            <w:shd w:val="clear" w:color="auto" w:fill="FFFFFF"/>
            <w:noWrap/>
            <w:tcMar>
              <w:top w:w="75" w:type="dxa"/>
              <w:left w:w="75" w:type="dxa"/>
              <w:bottom w:w="75" w:type="dxa"/>
              <w:right w:w="75" w:type="dxa"/>
            </w:tcMar>
            <w:vAlign w:val="center"/>
          </w:tcPr>
          <w:p w14:paraId="0A4B0A04" w14:textId="6B8DF5C6" w:rsidR="00FE7ACA" w:rsidRPr="00FE7ACA" w:rsidRDefault="00FE7ACA" w:rsidP="00FE7ACA">
            <w:pPr>
              <w:rPr>
                <w:bCs/>
                <w:sz w:val="20"/>
              </w:rPr>
            </w:pPr>
            <w:r w:rsidRPr="00FE7ACA">
              <w:rPr>
                <w:bCs/>
                <w:sz w:val="20"/>
              </w:rPr>
              <w:t>Latvijas Veterinārārstu biedrība</w:t>
            </w:r>
          </w:p>
        </w:tc>
        <w:tc>
          <w:tcPr>
            <w:tcW w:w="6662" w:type="dxa"/>
            <w:shd w:val="clear" w:color="auto" w:fill="FFFFFF"/>
            <w:noWrap/>
            <w:tcMar>
              <w:top w:w="75" w:type="dxa"/>
              <w:left w:w="75" w:type="dxa"/>
              <w:bottom w:w="75" w:type="dxa"/>
              <w:right w:w="75" w:type="dxa"/>
            </w:tcMar>
            <w:vAlign w:val="center"/>
          </w:tcPr>
          <w:p w14:paraId="5F6F56DC" w14:textId="77777777" w:rsidR="00FE7ACA" w:rsidRPr="00FE7ACA" w:rsidRDefault="00FE7ACA" w:rsidP="00FE7ACA">
            <w:pPr>
              <w:spacing w:line="276" w:lineRule="auto"/>
              <w:rPr>
                <w:sz w:val="20"/>
              </w:rPr>
            </w:pPr>
            <w:r w:rsidRPr="00FE7ACA">
              <w:rPr>
                <w:sz w:val="20"/>
              </w:rPr>
              <w:t>Latvijas Veterinārārstu biedrība ir iepazinusies ar Zemkopības ministrijas sagatavoto Ministru kabineta noteikumu projektu “Grozījumi Ministru kabineta 2011. gada 15. novembra noteikumos Nr. 880 "Govju enzootiskās leikozes uzraudzības, kontroles un apkarošanas kārtība”” un izsaka šādus priekšlikumus par:</w:t>
            </w:r>
          </w:p>
          <w:p w14:paraId="40FCF8D6" w14:textId="6AD0A9AE" w:rsidR="00FE7ACA" w:rsidRPr="00FE7ACA" w:rsidRDefault="00FE7ACA" w:rsidP="00FE7ACA">
            <w:pPr>
              <w:spacing w:line="276" w:lineRule="auto"/>
              <w:rPr>
                <w:b/>
                <w:bCs/>
                <w:sz w:val="20"/>
              </w:rPr>
            </w:pPr>
            <w:r w:rsidRPr="00FE7ACA">
              <w:rPr>
                <w:b/>
                <w:bCs/>
                <w:sz w:val="20"/>
              </w:rPr>
              <w:t>1.Anotācija (</w:t>
            </w:r>
            <w:proofErr w:type="spellStart"/>
            <w:r w:rsidRPr="00FE7ACA">
              <w:rPr>
                <w:b/>
                <w:bCs/>
                <w:sz w:val="20"/>
              </w:rPr>
              <w:t>ex-ante</w:t>
            </w:r>
            <w:proofErr w:type="spellEnd"/>
            <w:r w:rsidRPr="00FE7ACA">
              <w:rPr>
                <w:b/>
                <w:bCs/>
                <w:sz w:val="20"/>
              </w:rPr>
              <w:t>) 24-TA-2391-Izdrukāts 09.01.2025. 11.22 - 2.0 Redakcija.</w:t>
            </w:r>
          </w:p>
          <w:p w14:paraId="43E30B00" w14:textId="77777777" w:rsidR="00FE7ACA" w:rsidRPr="00FE7ACA" w:rsidRDefault="00FE7ACA" w:rsidP="00FE7ACA">
            <w:pPr>
              <w:spacing w:line="276" w:lineRule="auto"/>
              <w:rPr>
                <w:sz w:val="20"/>
              </w:rPr>
            </w:pPr>
            <w:r w:rsidRPr="00FE7ACA">
              <w:rPr>
                <w:sz w:val="20"/>
              </w:rPr>
              <w:t>Secinājumi: Šie grozījumi veicina efektīvāku govju enzootiskās leikozes uzraudzību un pielāgo Latvijas normatīvo regulējumu ES prasībām. Turpmāk saprotam un atbalstāms ,ka LAD pārņem centrālo lomu informācijas uzturēšanā un slimību uzraudzības koordinācijā.</w:t>
            </w:r>
          </w:p>
          <w:p w14:paraId="771D5109" w14:textId="77777777" w:rsidR="00FE7ACA" w:rsidRPr="00FE7ACA" w:rsidRDefault="00FE7ACA" w:rsidP="00FE7ACA">
            <w:pPr>
              <w:spacing w:line="276" w:lineRule="auto"/>
              <w:rPr>
                <w:sz w:val="20"/>
              </w:rPr>
            </w:pPr>
            <w:r w:rsidRPr="00FE7ACA">
              <w:rPr>
                <w:b/>
                <w:bCs/>
                <w:sz w:val="20"/>
              </w:rPr>
              <w:t>Noteikumu (grozījumu) projekts 24-TA-2391-Izdrukāts 09.01.2025. 11.21 - 2.0 Redakcija</w:t>
            </w:r>
            <w:r w:rsidRPr="00FE7ACA">
              <w:rPr>
                <w:sz w:val="20"/>
              </w:rPr>
              <w:t>.</w:t>
            </w:r>
          </w:p>
          <w:p w14:paraId="3ABAB996" w14:textId="77777777" w:rsidR="00FE7ACA" w:rsidRPr="00FE7ACA" w:rsidRDefault="00FE7ACA" w:rsidP="00FE7ACA">
            <w:pPr>
              <w:spacing w:line="276" w:lineRule="auto"/>
              <w:rPr>
                <w:b/>
                <w:bCs/>
                <w:sz w:val="20"/>
              </w:rPr>
            </w:pPr>
            <w:r w:rsidRPr="00FE7ACA">
              <w:rPr>
                <w:b/>
                <w:bCs/>
                <w:sz w:val="20"/>
              </w:rPr>
              <w:t xml:space="preserve">Noteikumu konsolidētā versija 24-TA-2391-Izdrukāts 09.01.2025. 11.23 - 3.0 Redakcija </w:t>
            </w:r>
          </w:p>
          <w:p w14:paraId="30FC718E" w14:textId="77777777" w:rsidR="00FE7ACA" w:rsidRPr="00FE7ACA" w:rsidRDefault="00FE7ACA" w:rsidP="00FE7ACA">
            <w:pPr>
              <w:spacing w:line="276" w:lineRule="auto"/>
              <w:rPr>
                <w:sz w:val="20"/>
              </w:rPr>
            </w:pPr>
            <w:r w:rsidRPr="00FE7ACA">
              <w:rPr>
                <w:sz w:val="20"/>
              </w:rPr>
              <w:t>Secinājumi: Šie grozījumi modernizēs govju enzootiskās leikozes uzraudzības sistēmu, pielāgojot Latvijas normatīvo regulējumu ES prasībām un optimizē valsts pārvaldes funkcijas, nodrošinot efektīvāku slimības apkarošanu un uzraudzību.</w:t>
            </w:r>
          </w:p>
          <w:p w14:paraId="6730727C" w14:textId="77777777" w:rsidR="00FE7ACA" w:rsidRPr="00FE7ACA" w:rsidRDefault="00FE7ACA" w:rsidP="00FE7ACA">
            <w:pPr>
              <w:pStyle w:val="ListParagraph"/>
              <w:ind w:leftChars="0" w:left="0" w:firstLineChars="0" w:firstLine="0"/>
              <w:jc w:val="both"/>
              <w:rPr>
                <w:sz w:val="20"/>
                <w:szCs w:val="20"/>
              </w:rPr>
            </w:pPr>
            <w:r w:rsidRPr="00FE7ACA">
              <w:rPr>
                <w:sz w:val="20"/>
                <w:szCs w:val="20"/>
              </w:rPr>
              <w:t xml:space="preserve">Govju enzootiskās leikozes diagnozi apstiprina Pārtikas drošības, dzīvnieku veselības un vides zinātniskais institūts "BIOR"  (turpmāk – references laboratorija), izmantojot metodes, kuras noteiktas Komisijas 2019. gada 17. decembra Deleģētās regulas (ES) 2020/689, ar ko attiecībā uz noteikumiem par noteiktu sarakstā norādītu un </w:t>
            </w:r>
            <w:proofErr w:type="spellStart"/>
            <w:r w:rsidRPr="00FE7ACA">
              <w:rPr>
                <w:sz w:val="20"/>
                <w:szCs w:val="20"/>
              </w:rPr>
              <w:t>jaunradušos</w:t>
            </w:r>
            <w:proofErr w:type="spellEnd"/>
            <w:r w:rsidRPr="00FE7ACA">
              <w:rPr>
                <w:sz w:val="20"/>
                <w:szCs w:val="20"/>
              </w:rPr>
              <w:t xml:space="preserve"> slimību uzraudzību, izskaušanas programmām un statusu “brīvs no slimības” papildina Eiropas Parlamenta un </w:t>
            </w:r>
            <w:r w:rsidRPr="00FE7ACA">
              <w:rPr>
                <w:sz w:val="20"/>
                <w:szCs w:val="20"/>
              </w:rPr>
              <w:lastRenderedPageBreak/>
              <w:t>Padomes Regulu (ES) 2016/429 (turpmāk - regula 2020/689) III. pielikuma 3. iedaļā. Paraugus govju enzootiskās leikozes noteikšanai noņem praktizējošs veterinārārsts vai Pārtikas un veterinārā dienesta (turpmāk - dienests) amatpersona. Izdevumus par laboratoriskajiem izmeklējumiem sedz dzīvnieku īpašnieks vai turētājs saskaņā ar noteikumiem par Pārtikas drošības, dzīvnieku veselības un vides zinātniskā institūta "BIOR" valsts pārvaldes uzdevumu ietvaros veikto darbību cenrādi. Izdevumus par praktizējoša veterinārārsta sniegtajiem pakalpojumiem sedz dzīvnieku īpašnieks vai turētājs saskaņā ar praktizējoša veterinārārsta sagatavotu rēķinu.</w:t>
            </w:r>
          </w:p>
          <w:p w14:paraId="788E5DB6" w14:textId="77777777" w:rsidR="00FE7ACA" w:rsidRPr="00FE7ACA" w:rsidRDefault="00FE7ACA" w:rsidP="00FE7ACA">
            <w:pPr>
              <w:spacing w:line="276" w:lineRule="auto"/>
              <w:rPr>
                <w:sz w:val="20"/>
              </w:rPr>
            </w:pPr>
            <w:r w:rsidRPr="00FE7ACA">
              <w:rPr>
                <w:sz w:val="20"/>
              </w:rPr>
              <w:t>Tiek izteikts priekšlikums par:</w:t>
            </w:r>
          </w:p>
          <w:p w14:paraId="14CB99CA" w14:textId="77777777" w:rsidR="00FE7ACA" w:rsidRPr="00FE7ACA" w:rsidRDefault="00FE7ACA" w:rsidP="00FE7ACA">
            <w:pPr>
              <w:spacing w:line="276" w:lineRule="auto"/>
              <w:rPr>
                <w:sz w:val="20"/>
              </w:rPr>
            </w:pPr>
            <w:r w:rsidRPr="00FE7ACA">
              <w:rPr>
                <w:b/>
                <w:bCs/>
                <w:sz w:val="20"/>
              </w:rPr>
              <w:t>Dzīvnieka īpašnieka vai turētāja pienākumi paraugu noņemšanas procesā</w:t>
            </w:r>
          </w:p>
          <w:p w14:paraId="61D78CE2" w14:textId="77777777" w:rsidR="00FE7ACA" w:rsidRPr="00FE7ACA" w:rsidRDefault="00FE7ACA" w:rsidP="00FE7ACA">
            <w:pPr>
              <w:spacing w:line="276" w:lineRule="auto"/>
              <w:rPr>
                <w:sz w:val="20"/>
              </w:rPr>
            </w:pPr>
            <w:r w:rsidRPr="00FE7ACA">
              <w:rPr>
                <w:sz w:val="20"/>
              </w:rPr>
              <w:t>Lai nodrošinātu dzīvnieku slimību uzraudzības, izskaušanas programmu un slimību brīva statusa uzturēšanas veiksmīgu īstenošanu, ir svarīgi skaidri definēt dzīvnieka īpašnieka vai turētāja pienākumus un tiesības. Šajā procesā būtu jāņem vērā šādi aspekti:</w:t>
            </w:r>
          </w:p>
          <w:p w14:paraId="2544A447" w14:textId="6392F2C1" w:rsidR="00FE7ACA" w:rsidRPr="00FE7ACA" w:rsidRDefault="00FE7ACA" w:rsidP="00FE7ACA">
            <w:pPr>
              <w:suppressAutoHyphens/>
              <w:spacing w:line="276" w:lineRule="auto"/>
              <w:textDirection w:val="btLr"/>
              <w:textAlignment w:val="top"/>
              <w:outlineLvl w:val="0"/>
              <w:rPr>
                <w:sz w:val="20"/>
              </w:rPr>
            </w:pPr>
            <w:r>
              <w:rPr>
                <w:b/>
                <w:bCs/>
                <w:sz w:val="20"/>
              </w:rPr>
              <w:t xml:space="preserve">1. </w:t>
            </w:r>
            <w:r w:rsidRPr="00FE7ACA">
              <w:rPr>
                <w:b/>
                <w:bCs/>
                <w:sz w:val="20"/>
              </w:rPr>
              <w:t>Parauga noņemšanas kārtība un pamatojums</w:t>
            </w:r>
          </w:p>
          <w:p w14:paraId="555EFA07" w14:textId="4E537B98" w:rsidR="00FE7ACA" w:rsidRPr="00FE7ACA" w:rsidRDefault="00FE7ACA" w:rsidP="00FE7ACA">
            <w:pPr>
              <w:suppressAutoHyphens/>
              <w:spacing w:line="276" w:lineRule="auto"/>
              <w:textDirection w:val="btLr"/>
              <w:textAlignment w:val="top"/>
              <w:outlineLvl w:val="0"/>
              <w:rPr>
                <w:sz w:val="20"/>
              </w:rPr>
            </w:pPr>
            <w:r>
              <w:rPr>
                <w:sz w:val="20"/>
              </w:rPr>
              <w:t xml:space="preserve">- </w:t>
            </w:r>
            <w:r w:rsidRPr="00FE7ACA">
              <w:rPr>
                <w:sz w:val="20"/>
              </w:rPr>
              <w:t>Parauga noņemšana tiek veikta, pamatojoties uz noteiktu metodiku, kas skaidro arī parauga noņēmēja vizītes pieteikšanu, procedūru un nepieciešamo, lai veiktu parauga/u iegūšanu.</w:t>
            </w:r>
          </w:p>
          <w:p w14:paraId="37AACE43" w14:textId="2A99BA95" w:rsidR="00FE7ACA" w:rsidRPr="00FE7ACA" w:rsidRDefault="00FE7ACA" w:rsidP="00FE7ACA">
            <w:pPr>
              <w:suppressAutoHyphens/>
              <w:spacing w:line="276" w:lineRule="auto"/>
              <w:textDirection w:val="btLr"/>
              <w:textAlignment w:val="top"/>
              <w:outlineLvl w:val="0"/>
              <w:rPr>
                <w:sz w:val="20"/>
              </w:rPr>
            </w:pPr>
            <w:r>
              <w:rPr>
                <w:sz w:val="20"/>
              </w:rPr>
              <w:t xml:space="preserve">- </w:t>
            </w:r>
            <w:r w:rsidRPr="00FE7ACA">
              <w:rPr>
                <w:sz w:val="20"/>
              </w:rPr>
              <w:t>Dzīvnieka īpašniekam vai turētājam tiek sniegta detalizēta informācija par parauga noņemšanas iemesliem, lai nodrošinātu izpratni un sadarbību.</w:t>
            </w:r>
          </w:p>
          <w:p w14:paraId="2EB7B383" w14:textId="526F67E7" w:rsidR="00FE7ACA" w:rsidRPr="00FE7ACA" w:rsidRDefault="00FE7ACA" w:rsidP="00FE7ACA">
            <w:pPr>
              <w:suppressAutoHyphens/>
              <w:spacing w:line="276" w:lineRule="auto"/>
              <w:textDirection w:val="btLr"/>
              <w:textAlignment w:val="top"/>
              <w:outlineLvl w:val="0"/>
              <w:rPr>
                <w:sz w:val="20"/>
              </w:rPr>
            </w:pPr>
            <w:r>
              <w:rPr>
                <w:b/>
                <w:bCs/>
                <w:sz w:val="20"/>
              </w:rPr>
              <w:t xml:space="preserve">2. </w:t>
            </w:r>
            <w:r w:rsidRPr="00FE7ACA">
              <w:rPr>
                <w:b/>
                <w:bCs/>
                <w:sz w:val="20"/>
              </w:rPr>
              <w:t>Dzīvnieka īpašnieka tiesības un vēlmes</w:t>
            </w:r>
          </w:p>
          <w:p w14:paraId="586E73E4" w14:textId="0AFBDE82" w:rsidR="00FE7ACA" w:rsidRPr="00FE7ACA" w:rsidRDefault="00FE7ACA" w:rsidP="00FE7ACA">
            <w:pPr>
              <w:suppressAutoHyphens/>
              <w:spacing w:line="276" w:lineRule="auto"/>
              <w:textDirection w:val="btLr"/>
              <w:textAlignment w:val="top"/>
              <w:outlineLvl w:val="0"/>
              <w:rPr>
                <w:sz w:val="20"/>
              </w:rPr>
            </w:pPr>
            <w:r>
              <w:rPr>
                <w:sz w:val="20"/>
              </w:rPr>
              <w:t xml:space="preserve">- </w:t>
            </w:r>
            <w:r w:rsidRPr="00FE7ACA">
              <w:rPr>
                <w:sz w:val="20"/>
              </w:rPr>
              <w:t>Parauga noņemšanas procesā jāņem vērā dzīvnieka īpašnieka vēlmes un tiesības, ievērojot gan personīgās, gan likumiskās tiesības.</w:t>
            </w:r>
          </w:p>
          <w:p w14:paraId="2060E0B9" w14:textId="71C40102" w:rsidR="00FE7ACA" w:rsidRPr="00FE7ACA" w:rsidRDefault="00FE7ACA" w:rsidP="00FE7ACA">
            <w:pPr>
              <w:suppressAutoHyphens/>
              <w:spacing w:line="276" w:lineRule="auto"/>
              <w:textDirection w:val="btLr"/>
              <w:textAlignment w:val="top"/>
              <w:outlineLvl w:val="0"/>
              <w:rPr>
                <w:sz w:val="20"/>
              </w:rPr>
            </w:pPr>
            <w:r>
              <w:rPr>
                <w:sz w:val="20"/>
              </w:rPr>
              <w:t xml:space="preserve">- </w:t>
            </w:r>
            <w:r w:rsidRPr="00FE7ACA">
              <w:rPr>
                <w:sz w:val="20"/>
              </w:rPr>
              <w:t>Īpašnieks var izvēlēties piemērotāko speciālistu parauga noņemšanai no sagatavota pakalpojuma sniedzēju saraksta nevis vadošās institūcijas rekomendācijām.</w:t>
            </w:r>
          </w:p>
          <w:p w14:paraId="3F99EC74" w14:textId="28EA2136" w:rsidR="00FE7ACA" w:rsidRPr="00FE7ACA" w:rsidRDefault="00FE7ACA" w:rsidP="00FE7ACA">
            <w:pPr>
              <w:suppressAutoHyphens/>
              <w:spacing w:line="276" w:lineRule="auto"/>
              <w:textDirection w:val="btLr"/>
              <w:textAlignment w:val="top"/>
              <w:outlineLvl w:val="0"/>
              <w:rPr>
                <w:sz w:val="20"/>
              </w:rPr>
            </w:pPr>
            <w:r>
              <w:rPr>
                <w:b/>
                <w:bCs/>
                <w:sz w:val="20"/>
              </w:rPr>
              <w:t xml:space="preserve">3. </w:t>
            </w:r>
            <w:r w:rsidRPr="00FE7ACA">
              <w:rPr>
                <w:b/>
                <w:bCs/>
                <w:sz w:val="20"/>
              </w:rPr>
              <w:t>Speciālistu saraksts</w:t>
            </w:r>
          </w:p>
          <w:p w14:paraId="0F10F06A" w14:textId="1752C0E5" w:rsidR="00FE7ACA" w:rsidRPr="00FE7ACA" w:rsidRDefault="00FE7ACA" w:rsidP="00FE7ACA">
            <w:pPr>
              <w:suppressAutoHyphens/>
              <w:spacing w:line="276" w:lineRule="auto"/>
              <w:textDirection w:val="btLr"/>
              <w:textAlignment w:val="top"/>
              <w:outlineLvl w:val="0"/>
              <w:rPr>
                <w:sz w:val="20"/>
              </w:rPr>
            </w:pPr>
            <w:r>
              <w:rPr>
                <w:sz w:val="20"/>
              </w:rPr>
              <w:t xml:space="preserve">- </w:t>
            </w:r>
            <w:r w:rsidRPr="00FE7ACA">
              <w:rPr>
                <w:sz w:val="20"/>
              </w:rPr>
              <w:t>Dzīvnieka īpašniekam tiek nodrošināta iespēja izvēlēties arī no Pārtikas un veterinārā dienesta (PVD) personām, kā arī privātpraksē strādājošiem veterinārārstiem, kuriem ir tiesības veikt šo procedūru.</w:t>
            </w:r>
          </w:p>
          <w:p w14:paraId="17E3D6EC" w14:textId="1D1E6AB6" w:rsidR="00FE7ACA" w:rsidRPr="00FE7ACA" w:rsidRDefault="00FE7ACA" w:rsidP="00FE7ACA">
            <w:pPr>
              <w:suppressAutoHyphens/>
              <w:spacing w:line="276" w:lineRule="auto"/>
              <w:textDirection w:val="btLr"/>
              <w:textAlignment w:val="top"/>
              <w:outlineLvl w:val="0"/>
              <w:rPr>
                <w:sz w:val="20"/>
              </w:rPr>
            </w:pPr>
            <w:r>
              <w:rPr>
                <w:sz w:val="20"/>
              </w:rPr>
              <w:t xml:space="preserve">- </w:t>
            </w:r>
            <w:r w:rsidRPr="00FE7ACA">
              <w:rPr>
                <w:sz w:val="20"/>
              </w:rPr>
              <w:t>Saraksts iekļauj speciālistu pieejamību, kuri spēj ne tikai noņemt paraugus, bet arī nodrošināt pilnvērtīgu servisu un dokumentācijas noformēšanu, piemēram, pavadrakstu sastādīšana, un paraugu nogādāšana laboratorijā.</w:t>
            </w:r>
          </w:p>
          <w:p w14:paraId="1AB8C8FE" w14:textId="2C790FBE" w:rsidR="00FE7ACA" w:rsidRPr="00FE7ACA" w:rsidRDefault="00FE7ACA" w:rsidP="00FE7ACA">
            <w:pPr>
              <w:suppressAutoHyphens/>
              <w:spacing w:line="276" w:lineRule="auto"/>
              <w:textDirection w:val="btLr"/>
              <w:textAlignment w:val="top"/>
              <w:outlineLvl w:val="0"/>
              <w:rPr>
                <w:sz w:val="20"/>
              </w:rPr>
            </w:pPr>
            <w:r>
              <w:rPr>
                <w:b/>
                <w:bCs/>
                <w:sz w:val="20"/>
              </w:rPr>
              <w:t xml:space="preserve">4. </w:t>
            </w:r>
            <w:r w:rsidRPr="00FE7ACA">
              <w:rPr>
                <w:b/>
                <w:bCs/>
                <w:sz w:val="20"/>
              </w:rPr>
              <w:t>Izpildes elastība</w:t>
            </w:r>
          </w:p>
          <w:p w14:paraId="3E038706" w14:textId="5ADD331D" w:rsidR="00FE7ACA" w:rsidRPr="00FE7ACA" w:rsidRDefault="00FE7ACA" w:rsidP="00FE7ACA">
            <w:pPr>
              <w:suppressAutoHyphens/>
              <w:spacing w:line="276" w:lineRule="auto"/>
              <w:textDirection w:val="btLr"/>
              <w:textAlignment w:val="top"/>
              <w:outlineLvl w:val="0"/>
              <w:rPr>
                <w:sz w:val="20"/>
              </w:rPr>
            </w:pPr>
            <w:r>
              <w:rPr>
                <w:sz w:val="20"/>
              </w:rPr>
              <w:lastRenderedPageBreak/>
              <w:t xml:space="preserve">- </w:t>
            </w:r>
            <w:r w:rsidRPr="00FE7ACA">
              <w:rPr>
                <w:sz w:val="20"/>
              </w:rPr>
              <w:t>Parauga noņemšanu var veikt gan praktizējošs veterinārārsts, gan PVD amatpersona, atkarībā no dzīvnieka īpašnieka izvēles un pieejamības.</w:t>
            </w:r>
          </w:p>
          <w:p w14:paraId="285FC759" w14:textId="403CA495" w:rsidR="00FE7ACA" w:rsidRPr="00FE7ACA" w:rsidRDefault="00FE7ACA" w:rsidP="00FE7ACA">
            <w:pPr>
              <w:suppressAutoHyphens/>
              <w:spacing w:line="276" w:lineRule="auto"/>
              <w:textDirection w:val="btLr"/>
              <w:textAlignment w:val="top"/>
              <w:outlineLvl w:val="0"/>
              <w:rPr>
                <w:sz w:val="20"/>
              </w:rPr>
            </w:pPr>
            <w:r>
              <w:rPr>
                <w:sz w:val="20"/>
              </w:rPr>
              <w:t xml:space="preserve">- </w:t>
            </w:r>
            <w:r w:rsidRPr="00FE7ACA">
              <w:rPr>
                <w:sz w:val="20"/>
              </w:rPr>
              <w:t>Šāda pieeja nodrošinātu pakalpojuma pieejamību un sniegtu pievienoto vērtību dzīvnieka īpašniekam, padarot procesu ērtāku un pielāgotu viņu vajadzībām.</w:t>
            </w:r>
          </w:p>
          <w:p w14:paraId="7D6F76D2" w14:textId="77777777" w:rsidR="00FE7ACA" w:rsidRPr="00FE7ACA" w:rsidRDefault="00FE7ACA" w:rsidP="00FE7ACA">
            <w:pPr>
              <w:spacing w:line="276" w:lineRule="auto"/>
              <w:ind w:left="1440"/>
              <w:rPr>
                <w:sz w:val="20"/>
              </w:rPr>
            </w:pPr>
          </w:p>
          <w:p w14:paraId="7BCC028F" w14:textId="5E044A8C" w:rsidR="00FE7ACA" w:rsidRPr="00FE7ACA" w:rsidRDefault="00FE7ACA" w:rsidP="00FE7ACA">
            <w:pPr>
              <w:spacing w:line="276" w:lineRule="auto"/>
              <w:rPr>
                <w:sz w:val="20"/>
              </w:rPr>
            </w:pPr>
            <w:r w:rsidRPr="00FE7ACA">
              <w:rPr>
                <w:sz w:val="20"/>
              </w:rPr>
              <w:t>Parauga noņemšanas procesa organizēšanā galvenais uzsvars tiek likts uz dzīvnieka īpašnieka tiesību, pienākumu un vēlmju ievērošanu, nodrošinot profesionālu un pieejamu servisu. Parauga noņemšanai dzīvnieku īpašniekam vai turētājam ir jāziņo par metodiku, lai veidotu izpratni parauga ņēmēja vajadzībām un tiesībām. Šāda pieeja stiprinātu sadarbību starp valsts iestādēm, veterinārārstiem un dzīvnieku īpašniekiem, veicinot slimību uzraudzību un izskaušanu.</w:t>
            </w:r>
          </w:p>
        </w:tc>
        <w:tc>
          <w:tcPr>
            <w:tcW w:w="1843" w:type="dxa"/>
            <w:shd w:val="clear" w:color="auto" w:fill="FFFFFF"/>
            <w:noWrap/>
            <w:tcMar>
              <w:top w:w="75" w:type="dxa"/>
              <w:left w:w="75" w:type="dxa"/>
              <w:bottom w:w="75" w:type="dxa"/>
              <w:right w:w="75" w:type="dxa"/>
            </w:tcMar>
            <w:vAlign w:val="center"/>
          </w:tcPr>
          <w:p w14:paraId="5C8B103F" w14:textId="434ADE2F" w:rsidR="00FE7ACA" w:rsidRPr="00FE7ACA" w:rsidRDefault="00FE7ACA" w:rsidP="00FE7ACA">
            <w:pPr>
              <w:rPr>
                <w:bCs/>
                <w:sz w:val="20"/>
              </w:rPr>
            </w:pPr>
            <w:r>
              <w:rPr>
                <w:bCs/>
                <w:sz w:val="20"/>
              </w:rPr>
              <w:lastRenderedPageBreak/>
              <w:t>Nav ņemts vērā.</w:t>
            </w:r>
          </w:p>
        </w:tc>
        <w:tc>
          <w:tcPr>
            <w:tcW w:w="2868" w:type="dxa"/>
            <w:shd w:val="clear" w:color="auto" w:fill="FFFFFF"/>
            <w:noWrap/>
            <w:tcMar>
              <w:top w:w="75" w:type="dxa"/>
              <w:left w:w="75" w:type="dxa"/>
              <w:bottom w:w="75" w:type="dxa"/>
              <w:right w:w="75" w:type="dxa"/>
            </w:tcMar>
            <w:vAlign w:val="center"/>
          </w:tcPr>
          <w:p w14:paraId="5DFB3B18" w14:textId="28A2326D" w:rsidR="00FE7ACA" w:rsidRPr="00FE7ACA" w:rsidRDefault="00FE7ACA" w:rsidP="00FE7ACA">
            <w:pPr>
              <w:rPr>
                <w:bCs/>
                <w:sz w:val="20"/>
              </w:rPr>
            </w:pPr>
            <w:r>
              <w:rPr>
                <w:bCs/>
                <w:sz w:val="20"/>
              </w:rPr>
              <w:t>Atzinumam ir informatīvs raksturs.</w:t>
            </w:r>
          </w:p>
        </w:tc>
      </w:tr>
    </w:tbl>
    <w:p w14:paraId="7EE82A9C" w14:textId="77777777" w:rsidR="00DB6626" w:rsidRDefault="00DB6626"/>
    <w:tbl>
      <w:tblPr>
        <w:tblStyle w:val="a"/>
        <w:tblW w:w="14567" w:type="dxa"/>
        <w:tblLayout w:type="fixed"/>
        <w:tblLook w:val="0600" w:firstRow="0" w:lastRow="0" w:firstColumn="0" w:lastColumn="0" w:noHBand="1" w:noVBand="1"/>
      </w:tblPr>
      <w:tblGrid>
        <w:gridCol w:w="4855"/>
        <w:gridCol w:w="4856"/>
        <w:gridCol w:w="4856"/>
      </w:tblGrid>
      <w:tr w:rsidR="00DB6626" w:rsidRPr="00FE7ACA" w14:paraId="6CCA75DB" w14:textId="77777777">
        <w:tc>
          <w:tcPr>
            <w:tcW w:w="4855" w:type="dxa"/>
            <w:shd w:val="clear" w:color="auto" w:fill="FFFFFF"/>
            <w:noWrap/>
            <w:tcMar>
              <w:top w:w="75" w:type="dxa"/>
              <w:left w:w="75" w:type="dxa"/>
              <w:bottom w:w="75" w:type="dxa"/>
              <w:right w:w="75" w:type="dxa"/>
            </w:tcMar>
            <w:vAlign w:val="center"/>
          </w:tcPr>
          <w:p w14:paraId="2BB797C9" w14:textId="77777777" w:rsidR="00DB6626" w:rsidRPr="00FE7ACA" w:rsidRDefault="00FE7ACA">
            <w:pPr>
              <w:jc w:val="left"/>
              <w:rPr>
                <w:sz w:val="24"/>
                <w:szCs w:val="24"/>
              </w:rPr>
            </w:pPr>
            <w:r w:rsidRPr="00FE7ACA">
              <w:rPr>
                <w:sz w:val="24"/>
                <w:szCs w:val="24"/>
              </w:rPr>
              <w:t>Datums**</w:t>
            </w:r>
          </w:p>
        </w:tc>
        <w:tc>
          <w:tcPr>
            <w:tcW w:w="4856" w:type="dxa"/>
            <w:shd w:val="clear" w:color="auto" w:fill="FFFFFF"/>
            <w:noWrap/>
            <w:tcMar>
              <w:top w:w="75" w:type="dxa"/>
              <w:left w:w="75" w:type="dxa"/>
              <w:bottom w:w="75" w:type="dxa"/>
              <w:right w:w="75" w:type="dxa"/>
            </w:tcMar>
            <w:vAlign w:val="center"/>
          </w:tcPr>
          <w:p w14:paraId="3D46D043" w14:textId="77777777" w:rsidR="00DB6626" w:rsidRPr="00FE7ACA" w:rsidRDefault="00DB6626">
            <w:pPr>
              <w:pBdr>
                <w:bottom w:val="single" w:sz="10" w:space="1" w:color="000000"/>
              </w:pBdr>
              <w:rPr>
                <w:sz w:val="24"/>
                <w:szCs w:val="24"/>
              </w:rPr>
            </w:pPr>
          </w:p>
        </w:tc>
        <w:tc>
          <w:tcPr>
            <w:tcW w:w="4856" w:type="dxa"/>
            <w:shd w:val="clear" w:color="auto" w:fill="FFFFFF"/>
            <w:noWrap/>
            <w:tcMar>
              <w:top w:w="75" w:type="dxa"/>
              <w:left w:w="75" w:type="dxa"/>
              <w:bottom w:w="75" w:type="dxa"/>
              <w:right w:w="75" w:type="dxa"/>
            </w:tcMar>
            <w:vAlign w:val="center"/>
          </w:tcPr>
          <w:p w14:paraId="60B076CD" w14:textId="77777777" w:rsidR="00DB6626" w:rsidRPr="00FE7ACA" w:rsidRDefault="00DB6626">
            <w:pPr>
              <w:rPr>
                <w:sz w:val="24"/>
                <w:szCs w:val="24"/>
              </w:rPr>
            </w:pPr>
          </w:p>
        </w:tc>
      </w:tr>
      <w:tr w:rsidR="00DB6626" w:rsidRPr="00FE7ACA" w14:paraId="01487178" w14:textId="77777777">
        <w:tc>
          <w:tcPr>
            <w:tcW w:w="4855" w:type="dxa"/>
            <w:shd w:val="clear" w:color="auto" w:fill="FFFFFF"/>
            <w:noWrap/>
            <w:tcMar>
              <w:top w:w="75" w:type="dxa"/>
              <w:left w:w="75" w:type="dxa"/>
              <w:bottom w:w="75" w:type="dxa"/>
              <w:right w:w="75" w:type="dxa"/>
            </w:tcMar>
            <w:vAlign w:val="center"/>
          </w:tcPr>
          <w:p w14:paraId="2E18352A" w14:textId="77777777" w:rsidR="00DB6626" w:rsidRPr="00FE7ACA" w:rsidRDefault="00DB6626">
            <w:pPr>
              <w:rPr>
                <w:sz w:val="24"/>
                <w:szCs w:val="24"/>
              </w:rPr>
            </w:pPr>
          </w:p>
        </w:tc>
        <w:tc>
          <w:tcPr>
            <w:tcW w:w="4856" w:type="dxa"/>
            <w:shd w:val="clear" w:color="auto" w:fill="FFFFFF"/>
            <w:noWrap/>
            <w:tcMar>
              <w:top w:w="75" w:type="dxa"/>
              <w:left w:w="75" w:type="dxa"/>
              <w:bottom w:w="75" w:type="dxa"/>
              <w:right w:w="75" w:type="dxa"/>
            </w:tcMar>
            <w:vAlign w:val="center"/>
          </w:tcPr>
          <w:p w14:paraId="71BC6798" w14:textId="77777777" w:rsidR="00DB6626" w:rsidRPr="00FE7ACA" w:rsidRDefault="00FE7ACA">
            <w:pPr>
              <w:jc w:val="center"/>
              <w:rPr>
                <w:sz w:val="24"/>
                <w:szCs w:val="24"/>
              </w:rPr>
            </w:pPr>
            <w:r w:rsidRPr="00FE7ACA">
              <w:rPr>
                <w:sz w:val="24"/>
                <w:szCs w:val="24"/>
              </w:rPr>
              <w:t>(</w:t>
            </w:r>
            <w:proofErr w:type="spellStart"/>
            <w:r w:rsidRPr="00FE7ACA">
              <w:rPr>
                <w:sz w:val="24"/>
                <w:szCs w:val="24"/>
              </w:rPr>
              <w:t>dd.mm.gggg</w:t>
            </w:r>
            <w:proofErr w:type="spellEnd"/>
            <w:r w:rsidRPr="00FE7ACA">
              <w:rPr>
                <w:sz w:val="24"/>
                <w:szCs w:val="24"/>
              </w:rPr>
              <w:t>)</w:t>
            </w:r>
          </w:p>
        </w:tc>
        <w:tc>
          <w:tcPr>
            <w:tcW w:w="4856" w:type="dxa"/>
            <w:shd w:val="clear" w:color="auto" w:fill="FFFFFF"/>
            <w:noWrap/>
            <w:tcMar>
              <w:top w:w="75" w:type="dxa"/>
              <w:left w:w="75" w:type="dxa"/>
              <w:bottom w:w="75" w:type="dxa"/>
              <w:right w:w="75" w:type="dxa"/>
            </w:tcMar>
            <w:vAlign w:val="center"/>
          </w:tcPr>
          <w:p w14:paraId="63DF1C2A" w14:textId="77777777" w:rsidR="00DB6626" w:rsidRPr="00FE7ACA" w:rsidRDefault="00DB6626">
            <w:pPr>
              <w:rPr>
                <w:sz w:val="24"/>
                <w:szCs w:val="24"/>
              </w:rPr>
            </w:pPr>
          </w:p>
        </w:tc>
      </w:tr>
      <w:tr w:rsidR="00DB6626" w:rsidRPr="00FE7ACA" w14:paraId="7DC2CEB9" w14:textId="77777777">
        <w:tc>
          <w:tcPr>
            <w:tcW w:w="4855" w:type="dxa"/>
            <w:shd w:val="clear" w:color="auto" w:fill="FFFFFF"/>
            <w:noWrap/>
            <w:tcMar>
              <w:top w:w="75" w:type="dxa"/>
              <w:left w:w="75" w:type="dxa"/>
              <w:bottom w:w="75" w:type="dxa"/>
              <w:right w:w="75" w:type="dxa"/>
            </w:tcMar>
            <w:vAlign w:val="center"/>
          </w:tcPr>
          <w:p w14:paraId="5335C5E2" w14:textId="77777777" w:rsidR="00DB6626" w:rsidRPr="00FE7ACA" w:rsidRDefault="00FE7ACA">
            <w:pPr>
              <w:jc w:val="left"/>
              <w:rPr>
                <w:sz w:val="24"/>
                <w:szCs w:val="24"/>
              </w:rPr>
            </w:pPr>
            <w:r w:rsidRPr="00FE7ACA">
              <w:rPr>
                <w:sz w:val="24"/>
                <w:szCs w:val="24"/>
              </w:rPr>
              <w:t>Atbildīgā persona</w:t>
            </w:r>
          </w:p>
        </w:tc>
        <w:tc>
          <w:tcPr>
            <w:tcW w:w="4856" w:type="dxa"/>
            <w:shd w:val="clear" w:color="auto" w:fill="FFFFFF"/>
            <w:noWrap/>
            <w:tcMar>
              <w:top w:w="75" w:type="dxa"/>
              <w:left w:w="75" w:type="dxa"/>
              <w:bottom w:w="75" w:type="dxa"/>
              <w:right w:w="75" w:type="dxa"/>
            </w:tcMar>
            <w:vAlign w:val="center"/>
          </w:tcPr>
          <w:p w14:paraId="50F55F45" w14:textId="77777777" w:rsidR="00DB6626" w:rsidRPr="00FE7ACA" w:rsidRDefault="00DB6626">
            <w:pPr>
              <w:pBdr>
                <w:bottom w:val="single" w:sz="10" w:space="1" w:color="000000"/>
              </w:pBdr>
              <w:rPr>
                <w:sz w:val="24"/>
                <w:szCs w:val="24"/>
              </w:rPr>
            </w:pPr>
          </w:p>
        </w:tc>
        <w:tc>
          <w:tcPr>
            <w:tcW w:w="4856" w:type="dxa"/>
            <w:shd w:val="clear" w:color="auto" w:fill="FFFFFF"/>
            <w:noWrap/>
            <w:tcMar>
              <w:top w:w="75" w:type="dxa"/>
              <w:left w:w="75" w:type="dxa"/>
              <w:bottom w:w="75" w:type="dxa"/>
              <w:right w:w="75" w:type="dxa"/>
            </w:tcMar>
            <w:vAlign w:val="center"/>
          </w:tcPr>
          <w:p w14:paraId="7054BC25" w14:textId="77777777" w:rsidR="00DB6626" w:rsidRPr="00FE7ACA" w:rsidRDefault="00DB6626">
            <w:pPr>
              <w:rPr>
                <w:sz w:val="24"/>
                <w:szCs w:val="24"/>
              </w:rPr>
            </w:pPr>
          </w:p>
        </w:tc>
      </w:tr>
      <w:tr w:rsidR="00DB6626" w:rsidRPr="00FE7ACA" w14:paraId="49CC0C62" w14:textId="77777777">
        <w:tc>
          <w:tcPr>
            <w:tcW w:w="4855" w:type="dxa"/>
            <w:shd w:val="clear" w:color="auto" w:fill="FFFFFF"/>
            <w:noWrap/>
            <w:tcMar>
              <w:top w:w="75" w:type="dxa"/>
              <w:left w:w="75" w:type="dxa"/>
              <w:bottom w:w="75" w:type="dxa"/>
              <w:right w:w="75" w:type="dxa"/>
            </w:tcMar>
            <w:vAlign w:val="center"/>
          </w:tcPr>
          <w:p w14:paraId="35819601" w14:textId="77777777" w:rsidR="00DB6626" w:rsidRPr="00FE7ACA" w:rsidRDefault="00DB6626">
            <w:pPr>
              <w:rPr>
                <w:sz w:val="24"/>
                <w:szCs w:val="24"/>
              </w:rPr>
            </w:pPr>
          </w:p>
        </w:tc>
        <w:tc>
          <w:tcPr>
            <w:tcW w:w="4856" w:type="dxa"/>
            <w:shd w:val="clear" w:color="auto" w:fill="FFFFFF"/>
            <w:noWrap/>
            <w:tcMar>
              <w:top w:w="75" w:type="dxa"/>
              <w:left w:w="75" w:type="dxa"/>
              <w:bottom w:w="75" w:type="dxa"/>
              <w:right w:w="75" w:type="dxa"/>
            </w:tcMar>
            <w:vAlign w:val="center"/>
          </w:tcPr>
          <w:p w14:paraId="47647583" w14:textId="77777777" w:rsidR="00DB6626" w:rsidRPr="00FE7ACA" w:rsidRDefault="00FE7ACA">
            <w:pPr>
              <w:jc w:val="center"/>
              <w:rPr>
                <w:sz w:val="24"/>
                <w:szCs w:val="24"/>
              </w:rPr>
            </w:pPr>
            <w:r w:rsidRPr="00FE7ACA">
              <w:rPr>
                <w:sz w:val="24"/>
                <w:szCs w:val="24"/>
              </w:rPr>
              <w:t>(vārds, uzvārds, paraksts**)</w:t>
            </w:r>
          </w:p>
        </w:tc>
        <w:tc>
          <w:tcPr>
            <w:tcW w:w="4856" w:type="dxa"/>
            <w:shd w:val="clear" w:color="auto" w:fill="FFFFFF"/>
            <w:noWrap/>
            <w:tcMar>
              <w:top w:w="75" w:type="dxa"/>
              <w:left w:w="75" w:type="dxa"/>
              <w:bottom w:w="75" w:type="dxa"/>
              <w:right w:w="75" w:type="dxa"/>
            </w:tcMar>
            <w:vAlign w:val="center"/>
          </w:tcPr>
          <w:p w14:paraId="73FCF190" w14:textId="77777777" w:rsidR="00DB6626" w:rsidRPr="00FE7ACA" w:rsidRDefault="00DB6626">
            <w:pPr>
              <w:rPr>
                <w:sz w:val="24"/>
                <w:szCs w:val="24"/>
              </w:rPr>
            </w:pPr>
          </w:p>
        </w:tc>
      </w:tr>
    </w:tbl>
    <w:p w14:paraId="3403FB2C" w14:textId="77777777" w:rsidR="00DB6626" w:rsidRPr="00FE7ACA" w:rsidRDefault="00DB6626">
      <w:pPr>
        <w:rPr>
          <w:sz w:val="24"/>
          <w:szCs w:val="24"/>
        </w:rPr>
      </w:pPr>
    </w:p>
    <w:p w14:paraId="17C78C39" w14:textId="77777777" w:rsidR="00DB6626" w:rsidRPr="00FE7ACA" w:rsidRDefault="00FE7ACA">
      <w:pPr>
        <w:rPr>
          <w:sz w:val="24"/>
          <w:szCs w:val="24"/>
        </w:rPr>
      </w:pPr>
      <w:r w:rsidRPr="00FE7ACA">
        <w:rPr>
          <w:sz w:val="24"/>
          <w:szCs w:val="24"/>
        </w:rPr>
        <w:t>Piezīmes.</w:t>
      </w:r>
    </w:p>
    <w:p w14:paraId="5D5B13E3" w14:textId="77777777" w:rsidR="00DB6626" w:rsidRPr="00FE7ACA" w:rsidRDefault="00FE7ACA">
      <w:pPr>
        <w:rPr>
          <w:sz w:val="24"/>
          <w:szCs w:val="24"/>
        </w:rPr>
      </w:pPr>
      <w:r w:rsidRPr="00FE7ACA">
        <w:rPr>
          <w:sz w:val="24"/>
          <w:szCs w:val="24"/>
        </w:rPr>
        <w:t>* Iesniedzējs (fiziskai personai – vārds, uzvārds, juridiskai personai – nosaukums) var tikt publiskots, ja viņš tam ir piekritis. Ja attiecināms, iesniedzējs norāda interešu pārstāvja reģistrācijas numuru.</w:t>
      </w:r>
    </w:p>
    <w:p w14:paraId="0A16D99D" w14:textId="77777777" w:rsidR="00DB6626" w:rsidRPr="00FE7ACA" w:rsidRDefault="00FE7ACA">
      <w:pPr>
        <w:rPr>
          <w:sz w:val="24"/>
          <w:szCs w:val="24"/>
        </w:rPr>
      </w:pPr>
      <w:r w:rsidRPr="00FE7ACA">
        <w:rPr>
          <w:sz w:val="24"/>
          <w:szCs w:val="24"/>
        </w:rPr>
        <w:t>** Dokumenta rekvizītus "datums" un "paraksts" neaizpilda, ja elektroniskais dokuments ir sagatavots atbilstoši normatīvajiem aktiem par elektronisko dokumentu noformēšanu.</w:t>
      </w:r>
    </w:p>
    <w:sectPr w:rsidR="00DB6626" w:rsidRPr="00FE7ACA">
      <w:headerReference w:type="default" r:id="rId7"/>
      <w:footerReference w:type="default" r:id="rId8"/>
      <w:headerReference w:type="first" r:id="rId9"/>
      <w:footerReference w:type="first" r:id="rId10"/>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D916B9" w14:textId="77777777" w:rsidR="00FE7ACA" w:rsidRDefault="00FE7ACA">
      <w:r>
        <w:separator/>
      </w:r>
    </w:p>
  </w:endnote>
  <w:endnote w:type="continuationSeparator" w:id="0">
    <w:p w14:paraId="514BEDB1" w14:textId="77777777" w:rsidR="00FE7ACA" w:rsidRDefault="00FE7A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60231" w14:textId="1A8E95BD" w:rsidR="00DB6626" w:rsidRDefault="00FE7ACA">
    <w:pPr>
      <w:jc w:val="right"/>
    </w:pPr>
    <w:r>
      <w:rPr>
        <w:sz w:val="24"/>
        <w:szCs w:val="24"/>
      </w:rPr>
      <w:fldChar w:fldCharType="begin"/>
    </w:r>
    <w:r>
      <w:rPr>
        <w:sz w:val="24"/>
        <w:szCs w:val="24"/>
      </w:rPr>
      <w:instrText>PAGE</w:instrText>
    </w:r>
    <w:r>
      <w:rPr>
        <w:sz w:val="24"/>
        <w:szCs w:val="24"/>
      </w:rPr>
      <w:fldChar w:fldCharType="separate"/>
    </w:r>
    <w:r>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33833" w14:textId="77777777" w:rsidR="00FE7ACA" w:rsidRDefault="00FE7ACA">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1C257D" w14:textId="77777777" w:rsidR="00FE7ACA" w:rsidRDefault="00FE7ACA">
      <w:r>
        <w:separator/>
      </w:r>
    </w:p>
  </w:footnote>
  <w:footnote w:type="continuationSeparator" w:id="0">
    <w:p w14:paraId="2B51C260" w14:textId="77777777" w:rsidR="00FE7ACA" w:rsidRDefault="00FE7A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E7A7F" w14:textId="77777777" w:rsidR="00DB6626" w:rsidRDefault="00FE7ACA">
    <w:pPr>
      <w:pStyle w:val="Header"/>
      <w:contextualSpacing w:val="0"/>
    </w:pPr>
    <w:r>
      <w:t>Viedokļu pārskats 24-TA-2391</w:t>
    </w:r>
    <w:r>
      <w:br/>
    </w:r>
    <w:r>
      <w:t>Izdrukāts 04.02.2025. 08.17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2BFFF" w14:textId="77777777" w:rsidR="00DB6626" w:rsidRDefault="00FE7ACA">
    <w:pPr>
      <w:pStyle w:val="Header"/>
      <w:contextualSpacing w:val="0"/>
    </w:pPr>
    <w:r>
      <w:t>Viedokļu pārskats 24-TA-2391</w:t>
    </w:r>
    <w:r>
      <w:br/>
    </w:r>
    <w:r>
      <w:t>Izdrukāts 04.02.2025. 08.17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416F1D"/>
    <w:multiLevelType w:val="hybridMultilevel"/>
    <w:tmpl w:val="15A259DA"/>
    <w:lvl w:ilvl="0" w:tplc="0426000F">
      <w:start w:val="1"/>
      <w:numFmt w:val="decimal"/>
      <w:lvlText w:val="%1."/>
      <w:lvlJc w:val="left"/>
      <w:pPr>
        <w:ind w:left="1440" w:hanging="360"/>
      </w:pPr>
    </w:lvl>
    <w:lvl w:ilvl="1" w:tplc="04260019">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 w15:restartNumberingAfterBreak="0">
    <w:nsid w:val="70E55C8A"/>
    <w:multiLevelType w:val="multilevel"/>
    <w:tmpl w:val="DEC6E6E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40893432">
    <w:abstractNumId w:val="0"/>
  </w:num>
  <w:num w:numId="2" w16cid:durableId="3790623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626"/>
    <w:rsid w:val="00017EE3"/>
    <w:rsid w:val="00DB6626"/>
    <w:rsid w:val="00FE7AC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AD41B"/>
  <w15:docId w15:val="{48E701B6-DF9F-440D-910D-BC4AB5509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 w:type="paragraph" w:styleId="ListParagraph">
    <w:name w:val="List Paragraph"/>
    <w:basedOn w:val="Normal"/>
    <w:uiPriority w:val="34"/>
    <w:qFormat/>
    <w:rsid w:val="00FE7ACA"/>
    <w:pPr>
      <w:widowControl w:val="0"/>
      <w:suppressAutoHyphens/>
      <w:spacing w:line="1" w:lineRule="atLeast"/>
      <w:ind w:leftChars="-1" w:left="720" w:hangingChars="1" w:hanging="1"/>
      <w:contextualSpacing/>
      <w:jc w:val="left"/>
      <w:textDirection w:val="btLr"/>
      <w:textAlignment w:val="top"/>
      <w:outlineLvl w:val="0"/>
    </w:pPr>
    <w:rPr>
      <w:color w:val="auto"/>
      <w:position w:val="-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3550</Words>
  <Characters>2025</Characters>
  <Application>Microsoft Office Word</Application>
  <DocSecurity>0</DocSecurity>
  <Lines>16</Lines>
  <Paragraphs>11</Paragraphs>
  <ScaleCrop>false</ScaleCrop>
  <Company>Zemkopības Ministrija</Company>
  <LinksUpToDate>false</LinksUpToDate>
  <CharactersWithSpaces>5564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viedoklu_parskats_24-TA-2391.docx</dc:title>
  <dc:creator>Olita Vecuma-Veco</dc:creator>
  <cp:lastModifiedBy>Olita Vecuma-Veco</cp:lastModifiedBy>
  <cp:revision>2</cp:revision>
  <dcterms:created xsi:type="dcterms:W3CDTF">2025-02-04T06:26:00Z</dcterms:created>
  <dcterms:modified xsi:type="dcterms:W3CDTF">2025-02-04T06:26:00Z</dcterms:modified>
</cp:coreProperties>
</file>